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F3E86" w14:textId="77777777" w:rsidR="000E19CA" w:rsidRPr="00500C4E" w:rsidRDefault="00E6385A" w:rsidP="000E19CA">
      <w:pPr>
        <w:pStyle w:val="WPnumber"/>
      </w:pPr>
      <w:bookmarkStart w:id="0" w:name="_Toc153189647"/>
      <w:r>
        <w:t xml:space="preserve">Short Form </w:t>
      </w:r>
      <w:r w:rsidR="00F117C6" w:rsidRPr="00500C4E">
        <w:t>Work Paper</w:t>
      </w:r>
      <w:r>
        <w:t xml:space="preserve"> </w:t>
      </w:r>
      <w:r w:rsidR="00D00817" w:rsidRPr="00022849">
        <w:t>WPSDGEREWH002</w:t>
      </w:r>
      <w:r w:rsidR="00D00817">
        <w:t>4</w:t>
      </w:r>
    </w:p>
    <w:p w14:paraId="35DE8574" w14:textId="77777777" w:rsidR="00E6385A" w:rsidRPr="00500C4E" w:rsidRDefault="00E6385A" w:rsidP="00F117C6">
      <w:pPr>
        <w:pStyle w:val="WPnumber"/>
      </w:pPr>
      <w:r>
        <w:tab/>
      </w:r>
      <w:r w:rsidR="000E19CA">
        <w:rPr>
          <w:rStyle w:val="CaptionChar"/>
          <w:b/>
          <w:bCs w:val="0"/>
        </w:rPr>
        <w:t xml:space="preserve">Revision </w:t>
      </w:r>
      <w:r w:rsidR="003D1C88">
        <w:rPr>
          <w:rStyle w:val="CaptionChar"/>
          <w:b/>
          <w:bCs w:val="0"/>
        </w:rPr>
        <w:t>2</w:t>
      </w:r>
    </w:p>
    <w:bookmarkEnd w:id="0"/>
    <w:p w14:paraId="34B286D6" w14:textId="77777777" w:rsidR="00F117C6" w:rsidRPr="00500C4E" w:rsidRDefault="00F117C6" w:rsidP="00F117C6">
      <w:pPr>
        <w:jc w:val="right"/>
        <w:rPr>
          <w:rFonts w:cstheme="minorHAnsi"/>
          <w:b/>
          <w:sz w:val="48"/>
          <w:szCs w:val="48"/>
        </w:rPr>
      </w:pPr>
    </w:p>
    <w:p w14:paraId="3FEB9576" w14:textId="77777777"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14:paraId="4BD1A1EA" w14:textId="77777777" w:rsidR="00E6385A" w:rsidRPr="00E6385A" w:rsidRDefault="00E6385A" w:rsidP="00E6385A">
      <w:pPr>
        <w:rPr>
          <w:rFonts w:cstheme="minorHAnsi"/>
          <w:b/>
          <w:sz w:val="32"/>
        </w:rPr>
      </w:pPr>
      <w:r w:rsidRPr="00E6385A">
        <w:rPr>
          <w:rFonts w:cstheme="minorHAnsi"/>
          <w:b/>
          <w:sz w:val="32"/>
        </w:rPr>
        <w:t>Energy Efficiency Engineering</w:t>
      </w:r>
    </w:p>
    <w:p w14:paraId="443D63E0" w14:textId="77777777" w:rsidR="00F117C6" w:rsidRPr="00500C4E" w:rsidRDefault="00F117C6" w:rsidP="00F117C6">
      <w:pPr>
        <w:rPr>
          <w:rFonts w:cstheme="minorHAnsi"/>
        </w:rPr>
      </w:pPr>
    </w:p>
    <w:p w14:paraId="022D685D" w14:textId="77777777" w:rsidR="00F117C6" w:rsidRPr="00500C4E" w:rsidRDefault="00F117C6" w:rsidP="00F117C6">
      <w:pPr>
        <w:tabs>
          <w:tab w:val="left" w:pos="8190"/>
        </w:tabs>
        <w:rPr>
          <w:rFonts w:cstheme="minorHAnsi"/>
        </w:rPr>
      </w:pPr>
      <w:r w:rsidRPr="00500C4E">
        <w:rPr>
          <w:rFonts w:cstheme="minorHAnsi"/>
        </w:rPr>
        <w:tab/>
      </w:r>
    </w:p>
    <w:p w14:paraId="23095F0D" w14:textId="77777777" w:rsidR="00F117C6" w:rsidRPr="00500C4E" w:rsidRDefault="00F117C6" w:rsidP="00F117C6">
      <w:pPr>
        <w:rPr>
          <w:rFonts w:cstheme="minorHAnsi"/>
        </w:rPr>
      </w:pPr>
    </w:p>
    <w:p w14:paraId="39903018" w14:textId="77777777" w:rsidR="00F117C6" w:rsidRPr="00500C4E" w:rsidRDefault="00F117C6" w:rsidP="00F117C6">
      <w:pPr>
        <w:rPr>
          <w:rFonts w:cstheme="minorHAnsi"/>
        </w:rPr>
      </w:pPr>
    </w:p>
    <w:p w14:paraId="6B91E64D" w14:textId="77777777" w:rsidR="00F117C6" w:rsidRPr="00500C4E" w:rsidRDefault="00F117C6" w:rsidP="00F117C6">
      <w:pPr>
        <w:rPr>
          <w:rFonts w:cstheme="minorHAnsi"/>
        </w:rPr>
      </w:pPr>
    </w:p>
    <w:p w14:paraId="573D1327" w14:textId="77777777" w:rsidR="00F117C6" w:rsidRPr="00500C4E" w:rsidRDefault="00F117C6" w:rsidP="00F117C6">
      <w:pPr>
        <w:rPr>
          <w:rFonts w:cstheme="minorHAnsi"/>
        </w:rPr>
      </w:pPr>
    </w:p>
    <w:p w14:paraId="5D14B0AF" w14:textId="77777777" w:rsidR="00F117C6" w:rsidRPr="00500C4E" w:rsidRDefault="00F117C6" w:rsidP="00F117C6">
      <w:pPr>
        <w:rPr>
          <w:rFonts w:cstheme="minorHAnsi"/>
        </w:rPr>
      </w:pPr>
    </w:p>
    <w:p w14:paraId="7DCB0A87" w14:textId="77777777" w:rsidR="00022849" w:rsidRPr="00EB34FC" w:rsidRDefault="00022849" w:rsidP="00022849">
      <w:pPr>
        <w:rPr>
          <w:rFonts w:cstheme="minorHAnsi"/>
          <w:b/>
          <w:sz w:val="72"/>
          <w:szCs w:val="72"/>
        </w:rPr>
      </w:pPr>
      <w:r>
        <w:rPr>
          <w:rFonts w:cstheme="minorHAnsi"/>
          <w:b/>
          <w:sz w:val="72"/>
          <w:szCs w:val="72"/>
        </w:rPr>
        <w:t>Storage Tank Water Heaters</w:t>
      </w:r>
    </w:p>
    <w:p w14:paraId="715FDEE4" w14:textId="77777777" w:rsidR="000E19CA" w:rsidRDefault="000E19CA" w:rsidP="000E19CA">
      <w:pPr>
        <w:jc w:val="right"/>
        <w:rPr>
          <w:rFonts w:cstheme="minorHAnsi"/>
          <w:b/>
          <w:sz w:val="28"/>
          <w:szCs w:val="28"/>
        </w:rPr>
      </w:pPr>
    </w:p>
    <w:p w14:paraId="05F6C8CB" w14:textId="77777777" w:rsidR="000E19CA" w:rsidRDefault="000E19CA" w:rsidP="000E19CA">
      <w:pPr>
        <w:jc w:val="right"/>
        <w:rPr>
          <w:rFonts w:cstheme="minorHAnsi"/>
          <w:b/>
          <w:sz w:val="28"/>
          <w:szCs w:val="28"/>
        </w:rPr>
      </w:pPr>
    </w:p>
    <w:p w14:paraId="6781BFE0" w14:textId="77777777" w:rsidR="000E19CA" w:rsidRDefault="000E19CA" w:rsidP="000E19CA">
      <w:pPr>
        <w:jc w:val="right"/>
        <w:rPr>
          <w:rFonts w:cstheme="minorHAnsi"/>
          <w:b/>
          <w:sz w:val="28"/>
          <w:szCs w:val="28"/>
        </w:rPr>
      </w:pPr>
    </w:p>
    <w:p w14:paraId="77AAF40D" w14:textId="77777777" w:rsidR="000E19CA" w:rsidRDefault="000E19CA" w:rsidP="000E19CA">
      <w:pPr>
        <w:jc w:val="right"/>
        <w:rPr>
          <w:rFonts w:cstheme="minorHAnsi"/>
          <w:b/>
          <w:sz w:val="28"/>
          <w:szCs w:val="28"/>
        </w:rPr>
      </w:pPr>
    </w:p>
    <w:p w14:paraId="74618457" w14:textId="77777777" w:rsidR="000E19CA" w:rsidRDefault="000E19CA" w:rsidP="000E19CA">
      <w:pPr>
        <w:jc w:val="right"/>
        <w:rPr>
          <w:rFonts w:cstheme="minorHAnsi"/>
          <w:b/>
          <w:sz w:val="28"/>
          <w:szCs w:val="28"/>
        </w:rPr>
      </w:pPr>
    </w:p>
    <w:p w14:paraId="5C1EF3EA" w14:textId="77777777" w:rsidR="00022849" w:rsidRDefault="00022849" w:rsidP="00453F1F">
      <w:pPr>
        <w:rPr>
          <w:rFonts w:cstheme="minorHAnsi"/>
          <w:b/>
          <w:sz w:val="28"/>
          <w:szCs w:val="28"/>
        </w:rPr>
      </w:pPr>
    </w:p>
    <w:p w14:paraId="2A805105" w14:textId="3B99A13C" w:rsidR="00022849" w:rsidRDefault="005526CA" w:rsidP="00022849">
      <w:pPr>
        <w:jc w:val="right"/>
        <w:rPr>
          <w:rFonts w:cstheme="minorHAnsi"/>
          <w:b/>
          <w:sz w:val="28"/>
          <w:szCs w:val="28"/>
        </w:rPr>
      </w:pPr>
      <w:r>
        <w:rPr>
          <w:rFonts w:cstheme="minorHAnsi"/>
          <w:b/>
          <w:sz w:val="28"/>
          <w:szCs w:val="28"/>
        </w:rPr>
        <w:t>February 27</w:t>
      </w:r>
      <w:r w:rsidR="00C33AD1">
        <w:rPr>
          <w:rFonts w:cstheme="minorHAnsi"/>
          <w:b/>
          <w:sz w:val="28"/>
          <w:szCs w:val="28"/>
        </w:rPr>
        <w:t>, 201</w:t>
      </w:r>
      <w:r>
        <w:rPr>
          <w:rFonts w:cstheme="minorHAnsi"/>
          <w:b/>
          <w:sz w:val="28"/>
          <w:szCs w:val="28"/>
        </w:rPr>
        <w:t>9</w:t>
      </w:r>
    </w:p>
    <w:p w14:paraId="17B0EDB5" w14:textId="77777777" w:rsidR="00E372B8" w:rsidRPr="000F72EF" w:rsidRDefault="00E372B8" w:rsidP="00D64150">
      <w:pPr>
        <w:jc w:val="center"/>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799BF7C4" w14:textId="77777777" w:rsidR="00413EF4" w:rsidRPr="00C227A7" w:rsidRDefault="00413EF4" w:rsidP="00413EF4">
      <w:pPr>
        <w:pStyle w:val="Heading2"/>
        <w:rPr>
          <w:rFonts w:asciiTheme="minorHAnsi" w:hAnsiTheme="minorHAnsi" w:cstheme="minorHAnsi"/>
          <w:sz w:val="22"/>
          <w:szCs w:val="22"/>
        </w:rPr>
      </w:pPr>
      <w:r w:rsidRPr="00C227A7">
        <w:rPr>
          <w:rFonts w:asciiTheme="minorHAnsi" w:hAnsiTheme="minorHAnsi" w:cstheme="minorHAnsi"/>
          <w:sz w:val="22"/>
          <w:szCs w:val="22"/>
        </w:rPr>
        <w:lastRenderedPageBreak/>
        <w:t>Introduction</w:t>
      </w:r>
    </w:p>
    <w:p w14:paraId="6F7D1130" w14:textId="77777777" w:rsidR="00413EF4" w:rsidRPr="00C227A7" w:rsidRDefault="00413EF4" w:rsidP="00C06B9E">
      <w:pPr>
        <w:rPr>
          <w:rFonts w:cstheme="minorHAnsi"/>
        </w:rPr>
      </w:pPr>
      <w:r w:rsidRPr="00C227A7">
        <w:rPr>
          <w:rFonts w:cstheme="minorHAnsi"/>
        </w:rPr>
        <w:t xml:space="preserve">This short form workpaper documents the </w:t>
      </w:r>
      <w:r w:rsidR="00C414A6" w:rsidRPr="00C227A7">
        <w:rPr>
          <w:rFonts w:cstheme="minorHAnsi"/>
        </w:rPr>
        <w:t>ex-ante</w:t>
      </w:r>
      <w:r w:rsidR="00C06B9E" w:rsidRPr="00C227A7">
        <w:rPr>
          <w:rFonts w:cstheme="minorHAnsi"/>
        </w:rPr>
        <w:t xml:space="preserve"> load impact and cost-effectiveness </w:t>
      </w:r>
      <w:r w:rsidRPr="00C227A7">
        <w:rPr>
          <w:rFonts w:cstheme="minorHAnsi"/>
        </w:rPr>
        <w:t xml:space="preserve">values </w:t>
      </w:r>
      <w:r w:rsidR="00C06B9E" w:rsidRPr="00C227A7">
        <w:rPr>
          <w:rFonts w:cstheme="minorHAnsi"/>
        </w:rPr>
        <w:t xml:space="preserve">used for </w:t>
      </w:r>
      <w:r w:rsidR="00022849" w:rsidRPr="00C227A7">
        <w:rPr>
          <w:rFonts w:cstheme="minorHAnsi"/>
        </w:rPr>
        <w:t>Natural Gas Storage Tank Water Heaters</w:t>
      </w:r>
      <w:r w:rsidR="00C06B9E" w:rsidRPr="00C227A7">
        <w:rPr>
          <w:rFonts w:cstheme="minorHAnsi"/>
        </w:rPr>
        <w:t xml:space="preserve">. </w:t>
      </w:r>
    </w:p>
    <w:p w14:paraId="2C09495D" w14:textId="77777777" w:rsidR="00413EF4" w:rsidRPr="00A92029" w:rsidRDefault="00413EF4" w:rsidP="00413EF4">
      <w:pPr>
        <w:rPr>
          <w:rFonts w:cstheme="minorHAnsi"/>
          <w:sz w:val="20"/>
          <w:szCs w:val="20"/>
        </w:rPr>
      </w:pPr>
    </w:p>
    <w:p w14:paraId="7B50300D" w14:textId="77777777" w:rsidR="00DB71F1" w:rsidRPr="00A92029" w:rsidRDefault="00B57F32" w:rsidP="00EC63CA">
      <w:pPr>
        <w:pStyle w:val="Heading2"/>
        <w:rPr>
          <w:rFonts w:asciiTheme="minorHAnsi" w:hAnsiTheme="minorHAnsi" w:cstheme="minorHAnsi"/>
          <w:sz w:val="20"/>
          <w:szCs w:val="20"/>
        </w:rPr>
      </w:pPr>
      <w:r w:rsidRPr="00A92029">
        <w:rPr>
          <w:rFonts w:asciiTheme="minorHAnsi" w:hAnsiTheme="minorHAnsi" w:cstheme="minorHAnsi"/>
          <w:sz w:val="20"/>
          <w:szCs w:val="20"/>
        </w:rPr>
        <w:t xml:space="preserve">Document Revision History </w:t>
      </w:r>
    </w:p>
    <w:tbl>
      <w:tblPr>
        <w:tblStyle w:val="TableGrid"/>
        <w:tblW w:w="9985" w:type="dxa"/>
        <w:tblLook w:val="04A0" w:firstRow="1" w:lastRow="0" w:firstColumn="1" w:lastColumn="0" w:noHBand="0" w:noVBand="1"/>
      </w:tblPr>
      <w:tblGrid>
        <w:gridCol w:w="1164"/>
        <w:gridCol w:w="1182"/>
        <w:gridCol w:w="2599"/>
        <w:gridCol w:w="5040"/>
      </w:tblGrid>
      <w:tr w:rsidR="00984E48" w:rsidRPr="00A92029" w14:paraId="34D5FD73" w14:textId="77777777" w:rsidTr="00C91427">
        <w:tc>
          <w:tcPr>
            <w:tcW w:w="1164" w:type="dxa"/>
            <w:shd w:val="clear" w:color="auto" w:fill="BFBFBF" w:themeFill="background1" w:themeFillShade="BF"/>
          </w:tcPr>
          <w:p w14:paraId="4E505690" w14:textId="77777777" w:rsidR="00984E48" w:rsidRPr="00A92029" w:rsidRDefault="00984E48" w:rsidP="00984E48">
            <w:pPr>
              <w:rPr>
                <w:rFonts w:cstheme="minorHAnsi"/>
                <w:b/>
                <w:bCs/>
                <w:sz w:val="20"/>
                <w:szCs w:val="20"/>
              </w:rPr>
            </w:pPr>
            <w:r w:rsidRPr="00A92029">
              <w:rPr>
                <w:rFonts w:cstheme="minorHAnsi"/>
                <w:sz w:val="20"/>
                <w:szCs w:val="20"/>
              </w:rPr>
              <w:t>Revision #</w:t>
            </w:r>
          </w:p>
        </w:tc>
        <w:tc>
          <w:tcPr>
            <w:tcW w:w="1182" w:type="dxa"/>
            <w:shd w:val="clear" w:color="auto" w:fill="BFBFBF" w:themeFill="background1" w:themeFillShade="BF"/>
          </w:tcPr>
          <w:p w14:paraId="7B15A541" w14:textId="77777777" w:rsidR="00984E48" w:rsidRPr="00A92029" w:rsidRDefault="00984E48" w:rsidP="00984E48">
            <w:pPr>
              <w:rPr>
                <w:rFonts w:cstheme="minorHAnsi"/>
                <w:b/>
                <w:bCs/>
                <w:sz w:val="20"/>
                <w:szCs w:val="20"/>
              </w:rPr>
            </w:pPr>
            <w:r w:rsidRPr="00A92029">
              <w:rPr>
                <w:rFonts w:cstheme="minorHAnsi"/>
                <w:sz w:val="20"/>
                <w:szCs w:val="20"/>
              </w:rPr>
              <w:t>MM/DD/YY</w:t>
            </w:r>
          </w:p>
        </w:tc>
        <w:tc>
          <w:tcPr>
            <w:tcW w:w="2599" w:type="dxa"/>
            <w:shd w:val="clear" w:color="auto" w:fill="BFBFBF" w:themeFill="background1" w:themeFillShade="BF"/>
          </w:tcPr>
          <w:p w14:paraId="0871B1BE" w14:textId="77777777" w:rsidR="00984E48" w:rsidRPr="00A92029" w:rsidRDefault="00984E48" w:rsidP="00984E48">
            <w:pPr>
              <w:rPr>
                <w:rFonts w:cstheme="minorHAnsi"/>
                <w:b/>
                <w:bCs/>
                <w:sz w:val="20"/>
                <w:szCs w:val="20"/>
              </w:rPr>
            </w:pPr>
            <w:r w:rsidRPr="00A92029">
              <w:rPr>
                <w:rFonts w:cstheme="minorHAnsi"/>
                <w:sz w:val="20"/>
                <w:szCs w:val="20"/>
              </w:rPr>
              <w:t>Author/Affiliation</w:t>
            </w:r>
          </w:p>
        </w:tc>
        <w:tc>
          <w:tcPr>
            <w:tcW w:w="5040" w:type="dxa"/>
            <w:shd w:val="clear" w:color="auto" w:fill="BFBFBF" w:themeFill="background1" w:themeFillShade="BF"/>
          </w:tcPr>
          <w:p w14:paraId="0CBC74B5" w14:textId="77777777" w:rsidR="00984E48" w:rsidRPr="00A92029" w:rsidRDefault="00984E48" w:rsidP="00984E48">
            <w:pPr>
              <w:rPr>
                <w:rFonts w:cstheme="minorHAnsi"/>
                <w:b/>
                <w:bCs/>
                <w:sz w:val="20"/>
                <w:szCs w:val="20"/>
              </w:rPr>
            </w:pPr>
            <w:r w:rsidRPr="00A92029">
              <w:rPr>
                <w:rFonts w:cstheme="minorHAnsi"/>
                <w:sz w:val="20"/>
                <w:szCs w:val="20"/>
              </w:rPr>
              <w:t>Summary of Changes</w:t>
            </w:r>
          </w:p>
        </w:tc>
      </w:tr>
      <w:tr w:rsidR="00984E48" w:rsidRPr="00A92029" w14:paraId="546F5FF1" w14:textId="77777777" w:rsidTr="00C91427">
        <w:tc>
          <w:tcPr>
            <w:tcW w:w="1164" w:type="dxa"/>
          </w:tcPr>
          <w:p w14:paraId="1068F960" w14:textId="77777777" w:rsidR="00984E48" w:rsidRPr="00A92029" w:rsidRDefault="00A54FC8" w:rsidP="00984E48">
            <w:pPr>
              <w:jc w:val="center"/>
              <w:rPr>
                <w:rFonts w:cstheme="minorHAnsi"/>
                <w:sz w:val="20"/>
                <w:szCs w:val="20"/>
              </w:rPr>
            </w:pPr>
            <w:r>
              <w:rPr>
                <w:rFonts w:cstheme="minorHAnsi"/>
                <w:sz w:val="20"/>
                <w:szCs w:val="20"/>
              </w:rPr>
              <w:t>0</w:t>
            </w:r>
          </w:p>
        </w:tc>
        <w:tc>
          <w:tcPr>
            <w:tcW w:w="1182" w:type="dxa"/>
          </w:tcPr>
          <w:p w14:paraId="26338E20" w14:textId="77777777" w:rsidR="00984E48" w:rsidRPr="00A92029" w:rsidRDefault="00281CA2" w:rsidP="00984E48">
            <w:pPr>
              <w:jc w:val="center"/>
              <w:rPr>
                <w:rFonts w:cstheme="minorHAnsi"/>
                <w:sz w:val="20"/>
                <w:szCs w:val="20"/>
              </w:rPr>
            </w:pPr>
            <w:r w:rsidRPr="00A92029">
              <w:rPr>
                <w:rFonts w:cstheme="minorHAnsi"/>
                <w:sz w:val="20"/>
                <w:szCs w:val="20"/>
              </w:rPr>
              <w:t>12/28</w:t>
            </w:r>
            <w:r w:rsidR="00984E48" w:rsidRPr="00A92029">
              <w:rPr>
                <w:rFonts w:cstheme="minorHAnsi"/>
                <w:sz w:val="20"/>
                <w:szCs w:val="20"/>
              </w:rPr>
              <w:t>/2017</w:t>
            </w:r>
          </w:p>
        </w:tc>
        <w:tc>
          <w:tcPr>
            <w:tcW w:w="2599" w:type="dxa"/>
          </w:tcPr>
          <w:p w14:paraId="22E02896" w14:textId="77777777" w:rsidR="00984E48" w:rsidRPr="00A92029" w:rsidRDefault="00984E48" w:rsidP="00984E48">
            <w:pPr>
              <w:rPr>
                <w:rFonts w:cstheme="minorHAnsi"/>
                <w:sz w:val="20"/>
                <w:szCs w:val="20"/>
              </w:rPr>
            </w:pPr>
            <w:r w:rsidRPr="00A92029">
              <w:rPr>
                <w:rFonts w:cstheme="minorHAnsi"/>
                <w:sz w:val="20"/>
                <w:szCs w:val="20"/>
              </w:rPr>
              <w:t>Joshua Williams (SDGE)</w:t>
            </w:r>
          </w:p>
        </w:tc>
        <w:tc>
          <w:tcPr>
            <w:tcW w:w="5040" w:type="dxa"/>
          </w:tcPr>
          <w:p w14:paraId="0C81B67F" w14:textId="77777777" w:rsidR="00D00817" w:rsidRPr="00A92029" w:rsidRDefault="00D00817" w:rsidP="00984E48">
            <w:pPr>
              <w:pStyle w:val="ListParagraph"/>
              <w:numPr>
                <w:ilvl w:val="0"/>
                <w:numId w:val="17"/>
              </w:numPr>
              <w:rPr>
                <w:rFonts w:cstheme="minorHAnsi"/>
                <w:sz w:val="20"/>
                <w:szCs w:val="20"/>
              </w:rPr>
            </w:pPr>
            <w:r w:rsidRPr="00A92029">
              <w:rPr>
                <w:rFonts w:cstheme="minorHAnsi"/>
                <w:sz w:val="20"/>
                <w:szCs w:val="20"/>
              </w:rPr>
              <w:t>Created new workpaper ID for latest workpaper update.  WPSDGEWH0024 Rev 0</w:t>
            </w:r>
          </w:p>
          <w:p w14:paraId="6742DBDC" w14:textId="77777777" w:rsidR="00984E48" w:rsidRPr="00A92029" w:rsidRDefault="00EC63CA" w:rsidP="00984E48">
            <w:pPr>
              <w:pStyle w:val="ListParagraph"/>
              <w:numPr>
                <w:ilvl w:val="0"/>
                <w:numId w:val="17"/>
              </w:numPr>
              <w:rPr>
                <w:rFonts w:cstheme="minorHAnsi"/>
                <w:sz w:val="20"/>
                <w:szCs w:val="20"/>
              </w:rPr>
            </w:pPr>
            <w:r w:rsidRPr="00A92029">
              <w:rPr>
                <w:rFonts w:cstheme="minorHAnsi"/>
                <w:sz w:val="20"/>
                <w:szCs w:val="20"/>
              </w:rPr>
              <w:t>SDG&amp;E establishes this Short Form Work Paper to coincided with the DEER 2017 update fo</w:t>
            </w:r>
            <w:r w:rsidR="00984E48" w:rsidRPr="00A92029">
              <w:rPr>
                <w:rFonts w:cstheme="minorHAnsi"/>
                <w:sz w:val="20"/>
                <w:szCs w:val="20"/>
              </w:rPr>
              <w:t>r Residential - Storage Tank Water Heaters.</w:t>
            </w:r>
          </w:p>
          <w:p w14:paraId="0AF969D5" w14:textId="77777777" w:rsidR="00EC63CA" w:rsidRPr="00A92029" w:rsidRDefault="00EC63CA" w:rsidP="00984E48">
            <w:pPr>
              <w:pStyle w:val="ListParagraph"/>
              <w:numPr>
                <w:ilvl w:val="0"/>
                <w:numId w:val="17"/>
              </w:numPr>
              <w:rPr>
                <w:rFonts w:cstheme="minorHAnsi"/>
                <w:sz w:val="20"/>
                <w:szCs w:val="20"/>
              </w:rPr>
            </w:pPr>
            <w:r w:rsidRPr="00A92029">
              <w:rPr>
                <w:rFonts w:cstheme="minorHAnsi"/>
                <w:sz w:val="20"/>
                <w:szCs w:val="20"/>
              </w:rPr>
              <w:t>All measures values included in this workpaper are taken directly from the DEER 2017 READI Tool or were created using the READI Tool.</w:t>
            </w:r>
          </w:p>
          <w:p w14:paraId="1D5DBADE" w14:textId="77777777" w:rsidR="00984E48" w:rsidRPr="00A92029" w:rsidRDefault="00984E48" w:rsidP="00984E48">
            <w:pPr>
              <w:pStyle w:val="ListParagraph"/>
              <w:numPr>
                <w:ilvl w:val="0"/>
                <w:numId w:val="17"/>
              </w:numPr>
              <w:rPr>
                <w:rFonts w:cstheme="minorHAnsi"/>
                <w:sz w:val="20"/>
                <w:szCs w:val="20"/>
              </w:rPr>
            </w:pPr>
            <w:r w:rsidRPr="00A92029">
              <w:rPr>
                <w:rFonts w:cstheme="minorHAnsi"/>
                <w:sz w:val="20"/>
                <w:szCs w:val="20"/>
              </w:rPr>
              <w:t>The 2017 Database for Energy Efficient Resources (DEER2017) v2.4.7 [3] data include: gas energy savings, measure cost, equipment useful life, and net-to-gross for this measure.</w:t>
            </w:r>
          </w:p>
          <w:p w14:paraId="2FD689C0" w14:textId="77777777" w:rsidR="00984E48" w:rsidRPr="00A92029" w:rsidRDefault="00984E48" w:rsidP="00EC63CA">
            <w:pPr>
              <w:pStyle w:val="ListParagraph"/>
              <w:ind w:left="360"/>
              <w:rPr>
                <w:rFonts w:cstheme="minorHAnsi"/>
                <w:sz w:val="20"/>
                <w:szCs w:val="20"/>
              </w:rPr>
            </w:pPr>
          </w:p>
        </w:tc>
      </w:tr>
      <w:tr w:rsidR="00C33AD1" w:rsidRPr="00A92029" w14:paraId="5FF7DEED" w14:textId="77777777" w:rsidTr="00C91427">
        <w:tc>
          <w:tcPr>
            <w:tcW w:w="1164" w:type="dxa"/>
          </w:tcPr>
          <w:p w14:paraId="4FC08E8B" w14:textId="77777777" w:rsidR="00C33AD1" w:rsidRPr="00A92029" w:rsidRDefault="00A54FC8" w:rsidP="00984E48">
            <w:pPr>
              <w:jc w:val="center"/>
              <w:rPr>
                <w:rFonts w:cstheme="minorHAnsi"/>
                <w:sz w:val="20"/>
                <w:szCs w:val="20"/>
              </w:rPr>
            </w:pPr>
            <w:r>
              <w:rPr>
                <w:rFonts w:cstheme="minorHAnsi"/>
                <w:sz w:val="20"/>
                <w:szCs w:val="20"/>
              </w:rPr>
              <w:t>1</w:t>
            </w:r>
          </w:p>
        </w:tc>
        <w:tc>
          <w:tcPr>
            <w:tcW w:w="1182" w:type="dxa"/>
          </w:tcPr>
          <w:p w14:paraId="29295D37" w14:textId="77777777" w:rsidR="00C33AD1" w:rsidRPr="00A92029" w:rsidRDefault="00C33AD1" w:rsidP="00984E48">
            <w:pPr>
              <w:jc w:val="center"/>
              <w:rPr>
                <w:rFonts w:cstheme="minorHAnsi"/>
                <w:sz w:val="20"/>
                <w:szCs w:val="20"/>
              </w:rPr>
            </w:pPr>
            <w:r>
              <w:rPr>
                <w:rFonts w:cstheme="minorHAnsi"/>
                <w:sz w:val="20"/>
                <w:szCs w:val="20"/>
              </w:rPr>
              <w:t>12/26/2018</w:t>
            </w:r>
          </w:p>
        </w:tc>
        <w:tc>
          <w:tcPr>
            <w:tcW w:w="2599" w:type="dxa"/>
          </w:tcPr>
          <w:p w14:paraId="32E9BDFB" w14:textId="77777777" w:rsidR="00C33AD1" w:rsidRPr="00A92029" w:rsidRDefault="00C33AD1" w:rsidP="00984E48">
            <w:pPr>
              <w:rPr>
                <w:rFonts w:cstheme="minorHAnsi"/>
                <w:sz w:val="20"/>
                <w:szCs w:val="20"/>
              </w:rPr>
            </w:pPr>
            <w:r>
              <w:rPr>
                <w:rFonts w:cstheme="minorHAnsi"/>
                <w:sz w:val="20"/>
                <w:szCs w:val="20"/>
              </w:rPr>
              <w:t>Kelvin Valenzuela (SDGE)</w:t>
            </w:r>
          </w:p>
        </w:tc>
        <w:tc>
          <w:tcPr>
            <w:tcW w:w="5040" w:type="dxa"/>
          </w:tcPr>
          <w:p w14:paraId="4C2A0619" w14:textId="77777777" w:rsidR="00C33AD1" w:rsidRDefault="00887C15" w:rsidP="00984E48">
            <w:pPr>
              <w:pStyle w:val="ListParagraph"/>
              <w:numPr>
                <w:ilvl w:val="0"/>
                <w:numId w:val="17"/>
              </w:numPr>
              <w:rPr>
                <w:rFonts w:cstheme="minorHAnsi"/>
                <w:sz w:val="20"/>
                <w:szCs w:val="20"/>
              </w:rPr>
            </w:pPr>
            <w:r>
              <w:rPr>
                <w:rFonts w:cstheme="minorHAnsi"/>
                <w:sz w:val="20"/>
                <w:szCs w:val="20"/>
              </w:rPr>
              <w:t>Updated workpaper to incorporate EF to UEF DEER IDs</w:t>
            </w:r>
            <w:r w:rsidR="00A54FC8">
              <w:rPr>
                <w:rFonts w:cstheme="minorHAnsi"/>
                <w:sz w:val="20"/>
                <w:szCs w:val="20"/>
              </w:rPr>
              <w:t>, which will be implemented</w:t>
            </w:r>
            <w:r>
              <w:rPr>
                <w:rFonts w:cstheme="minorHAnsi"/>
                <w:sz w:val="20"/>
                <w:szCs w:val="20"/>
              </w:rPr>
              <w:t xml:space="preserve"> 1/1/18.</w:t>
            </w:r>
          </w:p>
          <w:p w14:paraId="0338C49A" w14:textId="77777777" w:rsidR="00887C15" w:rsidRDefault="00887C15" w:rsidP="00984E48">
            <w:pPr>
              <w:pStyle w:val="ListParagraph"/>
              <w:numPr>
                <w:ilvl w:val="0"/>
                <w:numId w:val="17"/>
              </w:numPr>
              <w:rPr>
                <w:rFonts w:cstheme="minorHAnsi"/>
                <w:sz w:val="20"/>
                <w:szCs w:val="20"/>
              </w:rPr>
            </w:pPr>
            <w:r>
              <w:rPr>
                <w:rFonts w:cstheme="minorHAnsi"/>
                <w:sz w:val="20"/>
                <w:szCs w:val="20"/>
              </w:rPr>
              <w:t>Cost values were adopted from SCG’s WPSCGREWH180207A-Rev00</w:t>
            </w:r>
          </w:p>
          <w:p w14:paraId="33DB016B" w14:textId="77777777" w:rsidR="00E51CFA" w:rsidRDefault="00326AC4" w:rsidP="00E51CFA">
            <w:pPr>
              <w:pStyle w:val="ListParagraph"/>
              <w:numPr>
                <w:ilvl w:val="0"/>
                <w:numId w:val="17"/>
              </w:numPr>
              <w:rPr>
                <w:rFonts w:cstheme="minorHAnsi"/>
                <w:sz w:val="20"/>
                <w:szCs w:val="20"/>
              </w:rPr>
            </w:pPr>
            <w:r>
              <w:rPr>
                <w:rFonts w:cstheme="minorHAnsi"/>
                <w:sz w:val="20"/>
                <w:szCs w:val="20"/>
              </w:rPr>
              <w:t>Update also includes 2018 and 2019 Measure Application Types and Delivery Types.</w:t>
            </w:r>
          </w:p>
          <w:p w14:paraId="73D2258F" w14:textId="77777777" w:rsidR="0008049D" w:rsidRPr="00E51CFA" w:rsidRDefault="0008049D" w:rsidP="00E51CFA">
            <w:pPr>
              <w:pStyle w:val="ListParagraph"/>
              <w:numPr>
                <w:ilvl w:val="0"/>
                <w:numId w:val="17"/>
              </w:numPr>
              <w:rPr>
                <w:rFonts w:cstheme="minorHAnsi"/>
                <w:sz w:val="20"/>
                <w:szCs w:val="20"/>
              </w:rPr>
            </w:pPr>
            <w:r>
              <w:rPr>
                <w:rFonts w:cstheme="minorHAnsi"/>
                <w:sz w:val="20"/>
                <w:szCs w:val="20"/>
              </w:rPr>
              <w:t>Updated electric profile</w:t>
            </w:r>
          </w:p>
        </w:tc>
      </w:tr>
      <w:tr w:rsidR="00EE49E5" w:rsidRPr="00A92029" w14:paraId="2E500E3C" w14:textId="77777777" w:rsidTr="00C91427">
        <w:tc>
          <w:tcPr>
            <w:tcW w:w="1164" w:type="dxa"/>
          </w:tcPr>
          <w:p w14:paraId="1EB8123B" w14:textId="503EEC10" w:rsidR="00EE49E5" w:rsidRDefault="00EE49E5" w:rsidP="00984E48">
            <w:pPr>
              <w:jc w:val="center"/>
              <w:rPr>
                <w:rFonts w:cstheme="minorHAnsi"/>
                <w:sz w:val="20"/>
                <w:szCs w:val="20"/>
              </w:rPr>
            </w:pPr>
            <w:r>
              <w:rPr>
                <w:rFonts w:cstheme="minorHAnsi"/>
                <w:sz w:val="20"/>
                <w:szCs w:val="20"/>
              </w:rPr>
              <w:t>2</w:t>
            </w:r>
          </w:p>
        </w:tc>
        <w:tc>
          <w:tcPr>
            <w:tcW w:w="1182" w:type="dxa"/>
          </w:tcPr>
          <w:p w14:paraId="16A0276B" w14:textId="67D6D6BF" w:rsidR="00EE49E5" w:rsidRDefault="00EE49E5" w:rsidP="00984E48">
            <w:pPr>
              <w:jc w:val="center"/>
              <w:rPr>
                <w:rFonts w:cstheme="minorHAnsi"/>
                <w:sz w:val="20"/>
                <w:szCs w:val="20"/>
              </w:rPr>
            </w:pPr>
            <w:r>
              <w:rPr>
                <w:rFonts w:cstheme="minorHAnsi"/>
                <w:sz w:val="20"/>
                <w:szCs w:val="20"/>
              </w:rPr>
              <w:t>02/27/2019</w:t>
            </w:r>
          </w:p>
        </w:tc>
        <w:tc>
          <w:tcPr>
            <w:tcW w:w="2599" w:type="dxa"/>
          </w:tcPr>
          <w:p w14:paraId="19150060" w14:textId="534F77C3" w:rsidR="00EE49E5" w:rsidRDefault="00EE49E5" w:rsidP="00984E48">
            <w:pPr>
              <w:rPr>
                <w:rFonts w:cstheme="minorHAnsi"/>
                <w:sz w:val="20"/>
                <w:szCs w:val="20"/>
              </w:rPr>
            </w:pPr>
            <w:r>
              <w:rPr>
                <w:rFonts w:cstheme="minorHAnsi"/>
                <w:sz w:val="20"/>
                <w:szCs w:val="20"/>
              </w:rPr>
              <w:t>Eduardo Reynoso (SDG&amp;E)</w:t>
            </w:r>
          </w:p>
        </w:tc>
        <w:tc>
          <w:tcPr>
            <w:tcW w:w="5040" w:type="dxa"/>
          </w:tcPr>
          <w:p w14:paraId="172F1E6D" w14:textId="3B46E068" w:rsidR="005526CA" w:rsidRDefault="00EE49E5" w:rsidP="00984E48">
            <w:pPr>
              <w:pStyle w:val="ListParagraph"/>
              <w:numPr>
                <w:ilvl w:val="0"/>
                <w:numId w:val="17"/>
              </w:numPr>
              <w:rPr>
                <w:rFonts w:cstheme="minorHAnsi"/>
                <w:sz w:val="20"/>
                <w:szCs w:val="20"/>
              </w:rPr>
            </w:pPr>
            <w:r>
              <w:rPr>
                <w:rFonts w:cstheme="minorHAnsi"/>
                <w:sz w:val="20"/>
                <w:szCs w:val="20"/>
              </w:rPr>
              <w:t xml:space="preserve">Updated </w:t>
            </w:r>
            <w:r w:rsidR="005526CA">
              <w:rPr>
                <w:rFonts w:cstheme="minorHAnsi"/>
                <w:sz w:val="20"/>
                <w:szCs w:val="20"/>
              </w:rPr>
              <w:t xml:space="preserve">workpaper and ex-ante data base for adopting DEER gas storage tank water heater </w:t>
            </w:r>
            <w:proofErr w:type="spellStart"/>
            <w:r w:rsidR="005526CA">
              <w:rPr>
                <w:rFonts w:cstheme="minorHAnsi"/>
                <w:sz w:val="20"/>
                <w:szCs w:val="20"/>
              </w:rPr>
              <w:t>MeasuresIDs</w:t>
            </w:r>
            <w:proofErr w:type="spellEnd"/>
            <w:r w:rsidR="005526CA">
              <w:rPr>
                <w:rFonts w:cstheme="minorHAnsi"/>
                <w:sz w:val="20"/>
                <w:szCs w:val="20"/>
              </w:rPr>
              <w:t xml:space="preserve"> </w:t>
            </w:r>
            <w:r w:rsidR="00BC5215">
              <w:rPr>
                <w:rFonts w:cstheme="minorHAnsi"/>
                <w:sz w:val="20"/>
                <w:szCs w:val="20"/>
              </w:rPr>
              <w:t xml:space="preserve">that are based on the latest 2019 DEER Water Heating calculator </w:t>
            </w:r>
            <w:r w:rsidR="005526CA">
              <w:rPr>
                <w:rFonts w:cstheme="minorHAnsi"/>
                <w:sz w:val="20"/>
                <w:szCs w:val="20"/>
              </w:rPr>
              <w:t xml:space="preserve">with </w:t>
            </w:r>
            <w:r w:rsidR="00540AF6">
              <w:rPr>
                <w:rFonts w:cstheme="minorHAnsi"/>
                <w:sz w:val="20"/>
                <w:szCs w:val="20"/>
              </w:rPr>
              <w:t xml:space="preserve">a </w:t>
            </w:r>
            <w:r w:rsidR="005526CA">
              <w:rPr>
                <w:rFonts w:cstheme="minorHAnsi"/>
                <w:sz w:val="20"/>
                <w:szCs w:val="20"/>
              </w:rPr>
              <w:t>start date of 1/1/2019.</w:t>
            </w:r>
          </w:p>
          <w:p w14:paraId="55BC27CF" w14:textId="382439AA" w:rsidR="00EE49E5" w:rsidRDefault="005526CA" w:rsidP="00984E48">
            <w:pPr>
              <w:pStyle w:val="ListParagraph"/>
              <w:numPr>
                <w:ilvl w:val="0"/>
                <w:numId w:val="17"/>
              </w:numPr>
              <w:rPr>
                <w:rFonts w:cstheme="minorHAnsi"/>
                <w:sz w:val="20"/>
                <w:szCs w:val="20"/>
              </w:rPr>
            </w:pPr>
            <w:r>
              <w:rPr>
                <w:rFonts w:cstheme="minorHAnsi"/>
                <w:sz w:val="20"/>
                <w:szCs w:val="20"/>
              </w:rPr>
              <w:t xml:space="preserve"> </w:t>
            </w:r>
            <w:r w:rsidR="00C91427">
              <w:rPr>
                <w:rFonts w:cstheme="minorHAnsi"/>
                <w:sz w:val="20"/>
                <w:szCs w:val="20"/>
              </w:rPr>
              <w:t>This update is in response to CPUC Disposition dated 2/6/2019 issued by Peter Biermayer, titled “</w:t>
            </w:r>
            <w:sdt>
              <w:sdtPr>
                <w:id w:val="-1821563595"/>
                <w:placeholder>
                  <w:docPart w:val="808E12A0D31D4327B3660D6AD2D6F061"/>
                </w:placeholder>
              </w:sdtPr>
              <w:sdtEndPr/>
              <w:sdtContent>
                <w:r w:rsidR="00C91427">
                  <w:t xml:space="preserve">Non-standard </w:t>
                </w:r>
                <w:r w:rsidR="00C91427" w:rsidRPr="00D92278">
                  <w:t xml:space="preserve">Disposition </w:t>
                </w:r>
                <w:bookmarkStart w:id="1" w:name="_Hlk532918696"/>
                <w:r w:rsidR="00C91427">
                  <w:t>for Submittal of P1 2019 Residential and Small Commercial Water Heaters</w:t>
                </w:r>
              </w:sdtContent>
            </w:sdt>
            <w:bookmarkEnd w:id="1"/>
            <w:r w:rsidR="00C91427">
              <w:t>”.</w:t>
            </w:r>
          </w:p>
        </w:tc>
      </w:tr>
    </w:tbl>
    <w:p w14:paraId="6D23E63D" w14:textId="5030215B" w:rsidR="00271EBA" w:rsidRDefault="00271EBA" w:rsidP="00A92029">
      <w:pPr>
        <w:rPr>
          <w:rFonts w:cstheme="minorHAnsi"/>
          <w:sz w:val="20"/>
          <w:szCs w:val="20"/>
        </w:rPr>
      </w:pPr>
    </w:p>
    <w:p w14:paraId="617C80A4" w14:textId="005FF297" w:rsidR="003E659D" w:rsidRDefault="003E659D" w:rsidP="00A92029">
      <w:pPr>
        <w:rPr>
          <w:rFonts w:cstheme="minorHAnsi"/>
          <w:sz w:val="20"/>
          <w:szCs w:val="20"/>
        </w:rPr>
      </w:pPr>
    </w:p>
    <w:p w14:paraId="7BEA4A9E" w14:textId="663D7F57" w:rsidR="003E659D" w:rsidRDefault="003E659D" w:rsidP="00A92029">
      <w:pPr>
        <w:rPr>
          <w:rFonts w:cstheme="minorHAnsi"/>
          <w:sz w:val="20"/>
          <w:szCs w:val="20"/>
        </w:rPr>
      </w:pPr>
    </w:p>
    <w:p w14:paraId="604B2311" w14:textId="3D8D23AF" w:rsidR="003E659D" w:rsidRDefault="003E659D" w:rsidP="00A92029">
      <w:pPr>
        <w:rPr>
          <w:rFonts w:cstheme="minorHAnsi"/>
          <w:sz w:val="20"/>
          <w:szCs w:val="20"/>
        </w:rPr>
      </w:pPr>
    </w:p>
    <w:p w14:paraId="6A9EC89D" w14:textId="68831948" w:rsidR="003E659D" w:rsidRDefault="003E659D" w:rsidP="00A92029">
      <w:pPr>
        <w:rPr>
          <w:rFonts w:cstheme="minorHAnsi"/>
          <w:sz w:val="20"/>
          <w:szCs w:val="20"/>
        </w:rPr>
      </w:pPr>
    </w:p>
    <w:p w14:paraId="086DCEBA" w14:textId="77777777" w:rsidR="003E659D" w:rsidRDefault="003E659D" w:rsidP="00A92029">
      <w:pPr>
        <w:rPr>
          <w:rFonts w:cstheme="minorHAnsi"/>
          <w:sz w:val="20"/>
          <w:szCs w:val="20"/>
        </w:rPr>
      </w:pPr>
    </w:p>
    <w:p w14:paraId="1544B4D7" w14:textId="77777777" w:rsidR="00271EBA" w:rsidRPr="003E659D" w:rsidRDefault="00271EBA" w:rsidP="00271EBA">
      <w:pPr>
        <w:pStyle w:val="WPPR1"/>
        <w:rPr>
          <w:rFonts w:asciiTheme="minorHAnsi" w:hAnsiTheme="minorHAnsi" w:cstheme="minorHAnsi"/>
        </w:rPr>
      </w:pPr>
      <w:r w:rsidRPr="003E659D">
        <w:rPr>
          <w:rFonts w:asciiTheme="minorHAnsi" w:hAnsiTheme="minorHAnsi" w:cstheme="minorHAnsi"/>
        </w:rPr>
        <w:lastRenderedPageBreak/>
        <w:t>Eligibility Requirements</w:t>
      </w:r>
    </w:p>
    <w:p w14:paraId="07DA4731" w14:textId="291BDB50" w:rsidR="00271EBA" w:rsidRPr="003E659D" w:rsidRDefault="00271EBA" w:rsidP="00271EBA">
      <w:pPr>
        <w:pStyle w:val="WPPR2"/>
        <w:numPr>
          <w:ilvl w:val="0"/>
          <w:numId w:val="22"/>
        </w:numPr>
        <w:rPr>
          <w:rFonts w:asciiTheme="minorHAnsi" w:hAnsiTheme="minorHAnsi" w:cstheme="minorHAnsi"/>
        </w:rPr>
      </w:pPr>
      <w:r w:rsidRPr="003E659D">
        <w:rPr>
          <w:rFonts w:asciiTheme="minorHAnsi" w:hAnsiTheme="minorHAnsi" w:cstheme="minorHAnsi"/>
        </w:rPr>
        <w:t xml:space="preserve">Must be meet Energy Star Certified Criteria for Certified Gas-fired Storage Water Heaters below and listed on Energy Star website. </w:t>
      </w:r>
    </w:p>
    <w:p w14:paraId="5BE9E749" w14:textId="77777777" w:rsidR="00271EBA" w:rsidRPr="003E659D" w:rsidRDefault="00271EBA" w:rsidP="00271EBA">
      <w:pPr>
        <w:pStyle w:val="WPPR2"/>
        <w:ind w:left="1584" w:firstLine="0"/>
        <w:rPr>
          <w:rFonts w:asciiTheme="minorHAnsi" w:hAnsiTheme="minorHAnsi" w:cstheme="minorHAnsi"/>
        </w:rPr>
      </w:pPr>
      <w:r w:rsidRPr="003E659D">
        <w:rPr>
          <w:rFonts w:asciiTheme="minorHAnsi" w:hAnsiTheme="minorHAnsi" w:cstheme="minorHAnsi"/>
        </w:rPr>
        <w:t>(</w:t>
      </w:r>
      <w:hyperlink r:id="rId10" w:history="1">
        <w:r w:rsidRPr="003E659D">
          <w:rPr>
            <w:rStyle w:val="Hyperlink"/>
            <w:rFonts w:asciiTheme="minorHAnsi" w:hAnsiTheme="minorHAnsi" w:cstheme="minorHAnsi"/>
          </w:rPr>
          <w:t>https://www.energystar.gov/productfinder/advanced</w:t>
        </w:r>
      </w:hyperlink>
      <w:r w:rsidRPr="003E659D">
        <w:rPr>
          <w:rFonts w:asciiTheme="minorHAnsi" w:hAnsiTheme="minorHAnsi" w:cstheme="minorHAnsi"/>
        </w:rPr>
        <w:t xml:space="preserve"> ) </w:t>
      </w:r>
    </w:p>
    <w:p w14:paraId="1EA4FFC7" w14:textId="186434CB" w:rsidR="00271EBA" w:rsidRPr="003E659D" w:rsidRDefault="00271EBA" w:rsidP="00A92029">
      <w:pPr>
        <w:rPr>
          <w:rFonts w:cstheme="minorHAnsi"/>
          <w:sz w:val="20"/>
          <w:szCs w:val="20"/>
        </w:rPr>
      </w:pPr>
      <w:r w:rsidRPr="003E659D">
        <w:rPr>
          <w:noProof/>
          <w:sz w:val="20"/>
          <w:szCs w:val="20"/>
        </w:rPr>
        <w:drawing>
          <wp:inline distT="0" distB="0" distL="0" distR="0" wp14:anchorId="28765432" wp14:editId="2156391A">
            <wp:extent cx="5943600" cy="2170323"/>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170323"/>
                    </a:xfrm>
                    <a:prstGeom prst="rect">
                      <a:avLst/>
                    </a:prstGeom>
                  </pic:spPr>
                </pic:pic>
              </a:graphicData>
            </a:graphic>
          </wp:inline>
        </w:drawing>
      </w:r>
    </w:p>
    <w:p w14:paraId="5E77079E" w14:textId="4A838416" w:rsidR="00271EBA" w:rsidRPr="003E659D" w:rsidRDefault="00271EBA" w:rsidP="00271EBA">
      <w:pPr>
        <w:pStyle w:val="WPPR2"/>
        <w:numPr>
          <w:ilvl w:val="0"/>
          <w:numId w:val="22"/>
        </w:numPr>
        <w:rPr>
          <w:rFonts w:asciiTheme="minorHAnsi" w:hAnsiTheme="minorHAnsi" w:cstheme="minorHAnsi"/>
        </w:rPr>
      </w:pPr>
      <w:r w:rsidRPr="003E659D">
        <w:rPr>
          <w:rFonts w:asciiTheme="minorHAnsi" w:hAnsiTheme="minorHAnsi" w:cstheme="minorHAnsi"/>
        </w:rPr>
        <w:t>All storage water heating units must meet or exceed the Unified Energy Factor (UEF) values described in the following measure summary table to participate in the EE program.</w:t>
      </w:r>
    </w:p>
    <w:p w14:paraId="326F1111" w14:textId="77777777" w:rsidR="00271EBA" w:rsidRPr="003E659D" w:rsidRDefault="00271EBA" w:rsidP="00271EBA">
      <w:pPr>
        <w:pStyle w:val="WPPR2"/>
        <w:ind w:left="1944" w:firstLine="0"/>
        <w:rPr>
          <w:rFonts w:asciiTheme="minorHAnsi" w:hAnsiTheme="minorHAnsi" w:cstheme="minorHAnsi"/>
        </w:rPr>
      </w:pPr>
    </w:p>
    <w:p w14:paraId="65E20196" w14:textId="77777777" w:rsidR="00271EBA" w:rsidRPr="003E659D" w:rsidRDefault="00271EBA" w:rsidP="00271EBA">
      <w:pPr>
        <w:pStyle w:val="NoSpacing"/>
        <w:rPr>
          <w:b/>
          <w:sz w:val="20"/>
          <w:szCs w:val="20"/>
        </w:rPr>
      </w:pPr>
      <w:r w:rsidRPr="003E659D">
        <w:rPr>
          <w:b/>
          <w:sz w:val="20"/>
          <w:szCs w:val="20"/>
        </w:rPr>
        <w:t>Measure Summary Table</w:t>
      </w:r>
    </w:p>
    <w:tbl>
      <w:tblPr>
        <w:tblpPr w:leftFromText="180" w:rightFromText="180" w:vertAnchor="text" w:horzAnchor="margin" w:tblpXSpec="center" w:tblpY="117"/>
        <w:tblW w:w="9360" w:type="dxa"/>
        <w:tblLook w:val="04A0" w:firstRow="1" w:lastRow="0" w:firstColumn="1" w:lastColumn="0" w:noHBand="0" w:noVBand="1"/>
      </w:tblPr>
      <w:tblGrid>
        <w:gridCol w:w="2730"/>
        <w:gridCol w:w="3315"/>
        <w:gridCol w:w="3315"/>
      </w:tblGrid>
      <w:tr w:rsidR="00271EBA" w:rsidRPr="003E659D" w14:paraId="1C5857E7" w14:textId="77777777" w:rsidTr="000F2E01">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D0CECE"/>
            <w:vAlign w:val="center"/>
          </w:tcPr>
          <w:p w14:paraId="2A63C81C" w14:textId="35C3A767" w:rsidR="00271EBA" w:rsidRPr="003E659D" w:rsidRDefault="00271EBA" w:rsidP="000F2E01">
            <w:pPr>
              <w:jc w:val="center"/>
              <w:rPr>
                <w:rFonts w:cs="Calibri"/>
                <w:b/>
                <w:bCs/>
                <w:i/>
                <w:iCs/>
                <w:sz w:val="20"/>
                <w:szCs w:val="20"/>
              </w:rPr>
            </w:pPr>
            <w:r w:rsidRPr="003E659D">
              <w:rPr>
                <w:rFonts w:cs="Calibri"/>
                <w:b/>
                <w:bCs/>
                <w:i/>
                <w:iCs/>
                <w:sz w:val="20"/>
                <w:szCs w:val="20"/>
              </w:rPr>
              <w:t>DEER Measure ID</w:t>
            </w:r>
          </w:p>
        </w:tc>
        <w:tc>
          <w:tcPr>
            <w:tcW w:w="3315"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5100B43C" w14:textId="77777777" w:rsidR="00271EBA" w:rsidRPr="003E659D" w:rsidRDefault="00271EBA" w:rsidP="000F2E01">
            <w:pPr>
              <w:jc w:val="center"/>
              <w:rPr>
                <w:rFonts w:cs="Calibri"/>
                <w:b/>
                <w:bCs/>
                <w:i/>
                <w:iCs/>
                <w:sz w:val="20"/>
                <w:szCs w:val="20"/>
              </w:rPr>
            </w:pPr>
            <w:r w:rsidRPr="003E659D">
              <w:rPr>
                <w:rFonts w:cs="Calibri"/>
                <w:b/>
                <w:bCs/>
                <w:i/>
                <w:iCs/>
                <w:sz w:val="20"/>
                <w:szCs w:val="20"/>
              </w:rPr>
              <w:t>Measure Description</w:t>
            </w:r>
          </w:p>
        </w:tc>
        <w:tc>
          <w:tcPr>
            <w:tcW w:w="3315"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230F4860" w14:textId="77777777" w:rsidR="00271EBA" w:rsidRPr="003E659D" w:rsidRDefault="00271EBA" w:rsidP="000F2E01">
            <w:pPr>
              <w:jc w:val="center"/>
              <w:rPr>
                <w:rFonts w:cs="Calibri"/>
                <w:b/>
                <w:bCs/>
                <w:i/>
                <w:iCs/>
                <w:sz w:val="20"/>
                <w:szCs w:val="20"/>
              </w:rPr>
            </w:pPr>
            <w:r w:rsidRPr="003E659D">
              <w:rPr>
                <w:rFonts w:cs="Calibri"/>
                <w:b/>
                <w:bCs/>
                <w:i/>
                <w:iCs/>
                <w:sz w:val="20"/>
                <w:szCs w:val="20"/>
              </w:rPr>
              <w:t>Baseline Description</w:t>
            </w:r>
          </w:p>
        </w:tc>
      </w:tr>
      <w:tr w:rsidR="00271EBA" w:rsidRPr="003E659D" w14:paraId="01F44D02" w14:textId="77777777" w:rsidTr="000F2E01">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FFFFFF" w:themeFill="background1"/>
          </w:tcPr>
          <w:p w14:paraId="04310845" w14:textId="382F9687" w:rsidR="00271EBA" w:rsidRPr="003E659D" w:rsidRDefault="00271EBA" w:rsidP="00271EBA">
            <w:pPr>
              <w:jc w:val="center"/>
              <w:rPr>
                <w:rFonts w:cs="Calibri"/>
                <w:bCs/>
                <w:iCs/>
                <w:sz w:val="20"/>
                <w:szCs w:val="20"/>
              </w:rPr>
            </w:pPr>
            <w:r w:rsidRPr="003E659D">
              <w:rPr>
                <w:rFonts w:cstheme="minorHAnsi"/>
                <w:sz w:val="20"/>
                <w:szCs w:val="20"/>
              </w:rPr>
              <w:t>RG-WtrHt-SmlStrg-Gas-Ite75kBtuh-40G-HI-0p68UEF</w:t>
            </w:r>
          </w:p>
        </w:tc>
        <w:tc>
          <w:tcPr>
            <w:tcW w:w="3315"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68170040" w14:textId="46F1F298" w:rsidR="00271EBA" w:rsidRPr="003E659D" w:rsidRDefault="00271EBA" w:rsidP="00271EBA">
            <w:pPr>
              <w:rPr>
                <w:rFonts w:cs="Calibri"/>
                <w:bCs/>
                <w:iCs/>
                <w:sz w:val="20"/>
                <w:szCs w:val="20"/>
              </w:rPr>
            </w:pPr>
            <w:r w:rsidRPr="003E659D">
              <w:rPr>
                <w:rFonts w:cs="Calibri"/>
                <w:sz w:val="20"/>
                <w:szCs w:val="20"/>
              </w:rPr>
              <w:t>40 Gallon High Draw water heater with a rating of ≥0.68 UEF; Savings Converted into Cap-</w:t>
            </w:r>
            <w:proofErr w:type="spellStart"/>
            <w:r w:rsidRPr="003E659D">
              <w:rPr>
                <w:rFonts w:cs="Calibri"/>
                <w:sz w:val="20"/>
                <w:szCs w:val="20"/>
              </w:rPr>
              <w:t>kBTUh</w:t>
            </w:r>
            <w:proofErr w:type="spellEnd"/>
          </w:p>
        </w:tc>
        <w:tc>
          <w:tcPr>
            <w:tcW w:w="3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719880" w14:textId="4AF48669" w:rsidR="00271EBA" w:rsidRPr="003E659D" w:rsidRDefault="00271EBA" w:rsidP="00271EBA">
            <w:pPr>
              <w:jc w:val="center"/>
              <w:rPr>
                <w:rFonts w:cs="Calibri"/>
                <w:bCs/>
                <w:iCs/>
                <w:sz w:val="20"/>
                <w:szCs w:val="20"/>
              </w:rPr>
            </w:pPr>
            <w:r w:rsidRPr="003E659D">
              <w:rPr>
                <w:rFonts w:cs="Calibri"/>
                <w:sz w:val="20"/>
                <w:szCs w:val="20"/>
              </w:rPr>
              <w:t>High Draw 40 Gallon Gas Storage Water heater with a rating ≥ 0.64 UEF</w:t>
            </w:r>
          </w:p>
        </w:tc>
      </w:tr>
      <w:tr w:rsidR="00271EBA" w:rsidRPr="003E659D" w14:paraId="40A07C62" w14:textId="77777777" w:rsidTr="000F2E01">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FFFFFF" w:themeFill="background1"/>
          </w:tcPr>
          <w:p w14:paraId="143AE56D" w14:textId="77BC8146" w:rsidR="00271EBA" w:rsidRPr="003E659D" w:rsidRDefault="00271EBA" w:rsidP="00271EBA">
            <w:pPr>
              <w:jc w:val="center"/>
              <w:rPr>
                <w:rFonts w:cs="Calibri"/>
                <w:bCs/>
                <w:iCs/>
                <w:sz w:val="20"/>
                <w:szCs w:val="20"/>
              </w:rPr>
            </w:pPr>
            <w:r w:rsidRPr="003E659D">
              <w:rPr>
                <w:rFonts w:cstheme="minorHAnsi"/>
                <w:sz w:val="20"/>
                <w:szCs w:val="20"/>
              </w:rPr>
              <w:t>RG-WtrHt-SmlStrg-Gas-Ite75kBtuh-40G-MD-0p64UEF</w:t>
            </w:r>
          </w:p>
        </w:tc>
        <w:tc>
          <w:tcPr>
            <w:tcW w:w="3315"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328033B5" w14:textId="77777777" w:rsidR="00271EBA" w:rsidRPr="003E659D" w:rsidRDefault="00271EBA" w:rsidP="00271EBA">
            <w:pPr>
              <w:rPr>
                <w:rFonts w:cs="Calibri"/>
                <w:bCs/>
                <w:iCs/>
                <w:sz w:val="20"/>
                <w:szCs w:val="20"/>
              </w:rPr>
            </w:pPr>
            <w:r w:rsidRPr="003E659D">
              <w:rPr>
                <w:rFonts w:cs="Calibri"/>
                <w:sz w:val="20"/>
                <w:szCs w:val="20"/>
              </w:rPr>
              <w:t>40 Gallon Medium Draw water heater with a rating of ≥0.64 UEF; Savings Converted into Cap-</w:t>
            </w:r>
            <w:proofErr w:type="spellStart"/>
            <w:r w:rsidRPr="003E659D">
              <w:rPr>
                <w:rFonts w:cs="Calibri"/>
                <w:sz w:val="20"/>
                <w:szCs w:val="20"/>
              </w:rPr>
              <w:t>kBTUh</w:t>
            </w:r>
            <w:proofErr w:type="spellEnd"/>
          </w:p>
        </w:tc>
        <w:tc>
          <w:tcPr>
            <w:tcW w:w="3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C7E91" w14:textId="77777777" w:rsidR="00271EBA" w:rsidRPr="003E659D" w:rsidRDefault="00271EBA" w:rsidP="00271EBA">
            <w:pPr>
              <w:jc w:val="center"/>
              <w:rPr>
                <w:rFonts w:cs="Calibri"/>
                <w:bCs/>
                <w:iCs/>
                <w:sz w:val="20"/>
                <w:szCs w:val="20"/>
              </w:rPr>
            </w:pPr>
            <w:r w:rsidRPr="003E659D">
              <w:rPr>
                <w:rFonts w:cs="Calibri"/>
                <w:sz w:val="20"/>
                <w:szCs w:val="20"/>
              </w:rPr>
              <w:t>Medium Draw 40 Gallon Gas Storage Water heater with a rating ≥ 0.58 UEF</w:t>
            </w:r>
          </w:p>
        </w:tc>
      </w:tr>
      <w:tr w:rsidR="00271EBA" w:rsidRPr="003E659D" w14:paraId="1171E375" w14:textId="77777777" w:rsidTr="000F2E01">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FFFFFF" w:themeFill="background1"/>
          </w:tcPr>
          <w:p w14:paraId="67D0913E" w14:textId="7ECF2DA6" w:rsidR="00271EBA" w:rsidRPr="003E659D" w:rsidRDefault="00271EBA" w:rsidP="00271EBA">
            <w:pPr>
              <w:jc w:val="center"/>
              <w:rPr>
                <w:rFonts w:cs="Calibri"/>
                <w:bCs/>
                <w:iCs/>
                <w:sz w:val="20"/>
                <w:szCs w:val="20"/>
              </w:rPr>
            </w:pPr>
            <w:r w:rsidRPr="003E659D">
              <w:rPr>
                <w:rFonts w:cstheme="minorHAnsi"/>
                <w:sz w:val="20"/>
                <w:szCs w:val="20"/>
              </w:rPr>
              <w:t>RG-WtrHt-SmlStrg-Gas-Ite75kBtuh-50G-HI-0p68UEF</w:t>
            </w:r>
          </w:p>
        </w:tc>
        <w:tc>
          <w:tcPr>
            <w:tcW w:w="3315"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4760E8F7" w14:textId="4952C1A7" w:rsidR="00271EBA" w:rsidRPr="003E659D" w:rsidRDefault="00271EBA" w:rsidP="00271EBA">
            <w:pPr>
              <w:rPr>
                <w:rFonts w:cs="Calibri"/>
                <w:bCs/>
                <w:iCs/>
                <w:sz w:val="20"/>
                <w:szCs w:val="20"/>
              </w:rPr>
            </w:pPr>
            <w:r w:rsidRPr="003E659D">
              <w:rPr>
                <w:rFonts w:cs="Calibri"/>
                <w:sz w:val="20"/>
                <w:szCs w:val="20"/>
              </w:rPr>
              <w:t>50 Gallon High Draw water heater with a rating of ≥0.68 UEF; Savings Converted into Cap-</w:t>
            </w:r>
            <w:proofErr w:type="spellStart"/>
            <w:r w:rsidRPr="003E659D">
              <w:rPr>
                <w:rFonts w:cs="Calibri"/>
                <w:sz w:val="20"/>
                <w:szCs w:val="20"/>
              </w:rPr>
              <w:t>kBTUh</w:t>
            </w:r>
            <w:proofErr w:type="spellEnd"/>
          </w:p>
        </w:tc>
        <w:tc>
          <w:tcPr>
            <w:tcW w:w="3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D625B8" w14:textId="06DBF98A" w:rsidR="00271EBA" w:rsidRPr="003E659D" w:rsidRDefault="00271EBA" w:rsidP="00271EBA">
            <w:pPr>
              <w:jc w:val="center"/>
              <w:rPr>
                <w:rFonts w:cs="Calibri"/>
                <w:bCs/>
                <w:iCs/>
                <w:sz w:val="20"/>
                <w:szCs w:val="20"/>
              </w:rPr>
            </w:pPr>
            <w:r w:rsidRPr="003E659D">
              <w:rPr>
                <w:rFonts w:cs="Calibri"/>
                <w:sz w:val="20"/>
                <w:szCs w:val="20"/>
              </w:rPr>
              <w:t>High Draw 50 Gallon Gas Storage Water heater with a rating ≥ 0.63 UEF</w:t>
            </w:r>
          </w:p>
        </w:tc>
      </w:tr>
      <w:tr w:rsidR="00271EBA" w:rsidRPr="003E659D" w14:paraId="223C7AFC" w14:textId="77777777" w:rsidTr="000F2E01">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FFFFFF" w:themeFill="background1"/>
          </w:tcPr>
          <w:p w14:paraId="592FAA49" w14:textId="7A50B9D2" w:rsidR="00271EBA" w:rsidRPr="003E659D" w:rsidRDefault="00271EBA" w:rsidP="00271EBA">
            <w:pPr>
              <w:jc w:val="center"/>
              <w:rPr>
                <w:rFonts w:cs="Calibri"/>
                <w:bCs/>
                <w:iCs/>
                <w:sz w:val="20"/>
                <w:szCs w:val="20"/>
              </w:rPr>
            </w:pPr>
            <w:r w:rsidRPr="003E659D">
              <w:rPr>
                <w:rFonts w:cstheme="minorHAnsi"/>
                <w:sz w:val="20"/>
                <w:szCs w:val="20"/>
              </w:rPr>
              <w:t>RG-WtrHt-SmlStrg-Gas-Ite75kBtuh-50G-MD-0p64UEF</w:t>
            </w:r>
          </w:p>
        </w:tc>
        <w:tc>
          <w:tcPr>
            <w:tcW w:w="3315"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14A4A7DC" w14:textId="2D33C5CF" w:rsidR="00271EBA" w:rsidRPr="003E659D" w:rsidRDefault="00271EBA" w:rsidP="00271EBA">
            <w:pPr>
              <w:rPr>
                <w:rFonts w:cs="Calibri"/>
                <w:bCs/>
                <w:iCs/>
                <w:sz w:val="20"/>
                <w:szCs w:val="20"/>
              </w:rPr>
            </w:pPr>
            <w:r w:rsidRPr="003E659D">
              <w:rPr>
                <w:rFonts w:cs="Calibri"/>
                <w:sz w:val="20"/>
                <w:szCs w:val="20"/>
              </w:rPr>
              <w:t>50 Gallon Medium Draw water heater with a rating of ≥0.64 UEF; Savings Converted into Cap-</w:t>
            </w:r>
            <w:proofErr w:type="spellStart"/>
            <w:r w:rsidRPr="003E659D">
              <w:rPr>
                <w:rFonts w:cs="Calibri"/>
                <w:sz w:val="20"/>
                <w:szCs w:val="20"/>
              </w:rPr>
              <w:t>kBTUh</w:t>
            </w:r>
            <w:proofErr w:type="spellEnd"/>
          </w:p>
        </w:tc>
        <w:tc>
          <w:tcPr>
            <w:tcW w:w="3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867A2" w14:textId="36386480" w:rsidR="00271EBA" w:rsidRPr="003E659D" w:rsidRDefault="00271EBA" w:rsidP="00271EBA">
            <w:pPr>
              <w:jc w:val="center"/>
              <w:rPr>
                <w:rFonts w:cs="Calibri"/>
                <w:bCs/>
                <w:iCs/>
                <w:sz w:val="20"/>
                <w:szCs w:val="20"/>
              </w:rPr>
            </w:pPr>
            <w:r w:rsidRPr="003E659D">
              <w:rPr>
                <w:rFonts w:cs="Calibri"/>
                <w:sz w:val="20"/>
                <w:szCs w:val="20"/>
              </w:rPr>
              <w:t>Medium Draw 50 Gallon Gas Storage Water heater with a rating ≥ 0.56 UEF</w:t>
            </w:r>
          </w:p>
        </w:tc>
      </w:tr>
    </w:tbl>
    <w:p w14:paraId="5749FE6D" w14:textId="52D25704" w:rsidR="00271EBA" w:rsidRPr="003E659D" w:rsidRDefault="00271EBA" w:rsidP="00A92029">
      <w:pPr>
        <w:rPr>
          <w:rFonts w:cstheme="minorHAnsi"/>
          <w:sz w:val="20"/>
          <w:szCs w:val="20"/>
        </w:rPr>
      </w:pPr>
    </w:p>
    <w:p w14:paraId="04562263" w14:textId="77777777" w:rsidR="009146AD" w:rsidRPr="003E659D" w:rsidRDefault="009146AD" w:rsidP="003E659D">
      <w:pPr>
        <w:pStyle w:val="PR1"/>
        <w:rPr>
          <w:rFonts w:asciiTheme="minorHAnsi" w:hAnsiTheme="minorHAnsi" w:cstheme="minorHAnsi"/>
        </w:rPr>
      </w:pPr>
      <w:r w:rsidRPr="003E659D">
        <w:rPr>
          <w:rFonts w:asciiTheme="minorHAnsi" w:hAnsiTheme="minorHAnsi" w:cstheme="minorHAnsi"/>
        </w:rPr>
        <w:t>Implementation Requirements</w:t>
      </w:r>
    </w:p>
    <w:p w14:paraId="7771E65C" w14:textId="77777777" w:rsidR="009146AD" w:rsidRPr="003E659D" w:rsidRDefault="009146AD" w:rsidP="009146AD">
      <w:pPr>
        <w:pStyle w:val="WPPR2"/>
        <w:numPr>
          <w:ilvl w:val="3"/>
          <w:numId w:val="21"/>
        </w:numPr>
        <w:tabs>
          <w:tab w:val="num" w:pos="1782"/>
        </w:tabs>
        <w:rPr>
          <w:rFonts w:asciiTheme="minorHAnsi" w:hAnsiTheme="minorHAnsi" w:cstheme="minorHAnsi"/>
        </w:rPr>
      </w:pPr>
      <w:r w:rsidRPr="003E659D">
        <w:rPr>
          <w:rFonts w:asciiTheme="minorHAnsi" w:hAnsiTheme="minorHAnsi" w:cstheme="minorHAnsi"/>
        </w:rPr>
        <w:t xml:space="preserve">The rebate applies to gas-for-gas equipment replacements on normal replacement (or burnout) to new installations.  </w:t>
      </w:r>
    </w:p>
    <w:p w14:paraId="679F52AD" w14:textId="5B642F92" w:rsidR="009146AD" w:rsidRPr="003E659D" w:rsidRDefault="009146AD" w:rsidP="009146AD">
      <w:pPr>
        <w:pStyle w:val="WPPR2"/>
        <w:numPr>
          <w:ilvl w:val="3"/>
          <w:numId w:val="21"/>
        </w:numPr>
        <w:tabs>
          <w:tab w:val="num" w:pos="1782"/>
        </w:tabs>
        <w:rPr>
          <w:rFonts w:asciiTheme="minorHAnsi" w:hAnsiTheme="minorHAnsi" w:cstheme="minorHAnsi"/>
        </w:rPr>
      </w:pPr>
      <w:r w:rsidRPr="003E659D">
        <w:rPr>
          <w:rFonts w:asciiTheme="minorHAnsi" w:hAnsiTheme="minorHAnsi" w:cstheme="minorHAnsi"/>
        </w:rPr>
        <w:t xml:space="preserve">This measure is applicable to any </w:t>
      </w:r>
      <w:r w:rsidR="003E659D" w:rsidRPr="003E659D">
        <w:rPr>
          <w:rFonts w:asciiTheme="minorHAnsi" w:hAnsiTheme="minorHAnsi" w:cstheme="minorHAnsi"/>
        </w:rPr>
        <w:t xml:space="preserve">residential </w:t>
      </w:r>
      <w:r w:rsidRPr="003E659D">
        <w:rPr>
          <w:rFonts w:asciiTheme="minorHAnsi" w:hAnsiTheme="minorHAnsi" w:cstheme="minorHAnsi"/>
        </w:rPr>
        <w:t xml:space="preserve">domestic (or “service”) hot water application. </w:t>
      </w:r>
    </w:p>
    <w:p w14:paraId="6633AF68" w14:textId="77777777" w:rsidR="009146AD" w:rsidRPr="003E659D" w:rsidRDefault="009146AD" w:rsidP="009146AD">
      <w:pPr>
        <w:pStyle w:val="WPPR2"/>
        <w:numPr>
          <w:ilvl w:val="3"/>
          <w:numId w:val="21"/>
        </w:numPr>
        <w:tabs>
          <w:tab w:val="num" w:pos="1782"/>
        </w:tabs>
        <w:rPr>
          <w:rFonts w:asciiTheme="minorHAnsi" w:hAnsiTheme="minorHAnsi" w:cstheme="minorHAnsi"/>
        </w:rPr>
      </w:pPr>
      <w:r w:rsidRPr="003E659D">
        <w:rPr>
          <w:rFonts w:asciiTheme="minorHAnsi" w:hAnsiTheme="minorHAnsi" w:cstheme="minorHAnsi"/>
        </w:rPr>
        <w:t xml:space="preserve">This Workpaper does not cover water heaters used for space conditioning, process end-use applications, pools, or spas.  </w:t>
      </w:r>
    </w:p>
    <w:p w14:paraId="6781022B" w14:textId="77777777" w:rsidR="009146AD" w:rsidRPr="003E659D" w:rsidRDefault="009146AD" w:rsidP="009146AD">
      <w:pPr>
        <w:pStyle w:val="WPPR2"/>
        <w:numPr>
          <w:ilvl w:val="3"/>
          <w:numId w:val="21"/>
        </w:numPr>
        <w:tabs>
          <w:tab w:val="num" w:pos="1782"/>
        </w:tabs>
        <w:rPr>
          <w:rFonts w:asciiTheme="minorHAnsi" w:hAnsiTheme="minorHAnsi" w:cstheme="minorHAnsi"/>
        </w:rPr>
      </w:pPr>
      <w:r w:rsidRPr="003E659D">
        <w:rPr>
          <w:rFonts w:asciiTheme="minorHAnsi" w:hAnsiTheme="minorHAnsi" w:cstheme="minorHAnsi"/>
        </w:rPr>
        <w:lastRenderedPageBreak/>
        <w:t>This measure includes replacing a storage water heater with a storage water heater.</w:t>
      </w:r>
    </w:p>
    <w:p w14:paraId="5B3D2BAC" w14:textId="4C1EAF19" w:rsidR="009146AD" w:rsidRPr="003E659D" w:rsidRDefault="009146AD" w:rsidP="009146AD">
      <w:pPr>
        <w:pStyle w:val="WPPR2"/>
        <w:numPr>
          <w:ilvl w:val="3"/>
          <w:numId w:val="21"/>
        </w:numPr>
        <w:tabs>
          <w:tab w:val="num" w:pos="1782"/>
        </w:tabs>
        <w:rPr>
          <w:rFonts w:asciiTheme="minorHAnsi" w:hAnsiTheme="minorHAnsi" w:cstheme="minorHAnsi"/>
        </w:rPr>
      </w:pPr>
      <w:r w:rsidRPr="003E659D">
        <w:rPr>
          <w:rFonts w:asciiTheme="minorHAnsi" w:hAnsiTheme="minorHAnsi" w:cstheme="minorHAnsi"/>
        </w:rPr>
        <w:t xml:space="preserve">This workpaper has savings values for many </w:t>
      </w:r>
      <w:r w:rsidR="003E659D" w:rsidRPr="003E659D">
        <w:rPr>
          <w:rFonts w:asciiTheme="minorHAnsi" w:hAnsiTheme="minorHAnsi" w:cstheme="minorHAnsi"/>
        </w:rPr>
        <w:t xml:space="preserve">residential </w:t>
      </w:r>
      <w:r w:rsidRPr="003E659D">
        <w:rPr>
          <w:rFonts w:asciiTheme="minorHAnsi" w:hAnsiTheme="minorHAnsi" w:cstheme="minorHAnsi"/>
        </w:rPr>
        <w:t xml:space="preserve">building types. </w:t>
      </w:r>
    </w:p>
    <w:p w14:paraId="54C14F95" w14:textId="77777777" w:rsidR="009146AD" w:rsidRPr="003E659D" w:rsidRDefault="009146AD" w:rsidP="009146AD">
      <w:pPr>
        <w:pStyle w:val="WPPR1"/>
        <w:rPr>
          <w:rFonts w:asciiTheme="minorHAnsi" w:hAnsiTheme="minorHAnsi" w:cstheme="minorHAnsi"/>
        </w:rPr>
      </w:pPr>
      <w:r w:rsidRPr="003E659D">
        <w:rPr>
          <w:rFonts w:asciiTheme="minorHAnsi" w:hAnsiTheme="minorHAnsi" w:cstheme="minorHAnsi"/>
        </w:rPr>
        <w:t>Documentation Requirements</w:t>
      </w:r>
    </w:p>
    <w:p w14:paraId="1716E8C3" w14:textId="77777777" w:rsidR="009146AD" w:rsidRPr="003E659D" w:rsidRDefault="009146AD" w:rsidP="009146AD">
      <w:pPr>
        <w:pStyle w:val="WPPR2"/>
        <w:numPr>
          <w:ilvl w:val="3"/>
          <w:numId w:val="21"/>
        </w:numPr>
        <w:tabs>
          <w:tab w:val="num" w:pos="1782"/>
        </w:tabs>
        <w:rPr>
          <w:rFonts w:asciiTheme="minorHAnsi" w:hAnsiTheme="minorHAnsi" w:cstheme="minorHAnsi"/>
        </w:rPr>
      </w:pPr>
      <w:r w:rsidRPr="003E659D">
        <w:rPr>
          <w:rFonts w:asciiTheme="minorHAnsi" w:hAnsiTheme="minorHAnsi" w:cstheme="minorHAnsi"/>
        </w:rPr>
        <w:t xml:space="preserve">The manufacturer’s name and equipment model number must be provided.  </w:t>
      </w:r>
    </w:p>
    <w:p w14:paraId="64EC4E50" w14:textId="77777777" w:rsidR="009146AD" w:rsidRPr="003E659D" w:rsidRDefault="009146AD" w:rsidP="009146AD">
      <w:pPr>
        <w:pStyle w:val="WPPR2"/>
        <w:numPr>
          <w:ilvl w:val="3"/>
          <w:numId w:val="21"/>
        </w:numPr>
        <w:tabs>
          <w:tab w:val="num" w:pos="1782"/>
        </w:tabs>
        <w:rPr>
          <w:rFonts w:asciiTheme="minorHAnsi" w:hAnsiTheme="minorHAnsi" w:cstheme="minorHAnsi"/>
        </w:rPr>
      </w:pPr>
      <w:r w:rsidRPr="003E659D">
        <w:rPr>
          <w:rFonts w:asciiTheme="minorHAnsi" w:hAnsiTheme="minorHAnsi" w:cstheme="minorHAnsi"/>
        </w:rPr>
        <w:t>If necessary, customer must provide proof of unit efficiency (e.g., manufacturer’s equipment specification sheet).</w:t>
      </w:r>
    </w:p>
    <w:p w14:paraId="58854C38" w14:textId="77777777" w:rsidR="009146AD" w:rsidRPr="003E659D" w:rsidRDefault="009146AD" w:rsidP="009146AD">
      <w:pPr>
        <w:pStyle w:val="WPPR1"/>
        <w:rPr>
          <w:rFonts w:asciiTheme="minorHAnsi" w:hAnsiTheme="minorHAnsi" w:cstheme="minorHAnsi"/>
        </w:rPr>
      </w:pPr>
      <w:r w:rsidRPr="003E659D">
        <w:rPr>
          <w:rFonts w:asciiTheme="minorHAnsi" w:hAnsiTheme="minorHAnsi" w:cstheme="minorHAnsi"/>
        </w:rPr>
        <w:t>Terms and Conditions</w:t>
      </w:r>
    </w:p>
    <w:p w14:paraId="0CC9F589" w14:textId="77777777" w:rsidR="009146AD" w:rsidRPr="003E659D" w:rsidRDefault="009146AD" w:rsidP="009146AD">
      <w:pPr>
        <w:pStyle w:val="PR2"/>
        <w:tabs>
          <w:tab w:val="num" w:pos="1782"/>
        </w:tabs>
        <w:rPr>
          <w:rFonts w:asciiTheme="minorHAnsi" w:hAnsiTheme="minorHAnsi" w:cstheme="minorHAnsi"/>
        </w:rPr>
      </w:pPr>
      <w:r w:rsidRPr="003E659D">
        <w:rPr>
          <w:rFonts w:asciiTheme="minorHAnsi" w:hAnsiTheme="minorHAnsi" w:cstheme="minorHAnsi"/>
        </w:rPr>
        <w:t>Only storage water heaters as defined by the California Energy Commission qualify, and they must:</w:t>
      </w:r>
    </w:p>
    <w:p w14:paraId="3ADD3F8B" w14:textId="77777777" w:rsidR="009146AD" w:rsidRPr="003E659D" w:rsidRDefault="009146AD" w:rsidP="009146AD">
      <w:pPr>
        <w:pStyle w:val="WPPR3"/>
        <w:numPr>
          <w:ilvl w:val="4"/>
          <w:numId w:val="21"/>
        </w:numPr>
        <w:rPr>
          <w:rFonts w:asciiTheme="minorHAnsi" w:hAnsiTheme="minorHAnsi" w:cstheme="minorHAnsi"/>
        </w:rPr>
      </w:pPr>
      <w:r w:rsidRPr="003E659D">
        <w:rPr>
          <w:rFonts w:asciiTheme="minorHAnsi" w:hAnsiTheme="minorHAnsi" w:cstheme="minorHAnsi"/>
        </w:rPr>
        <w:t>Be used primarily for domestic hot water</w:t>
      </w:r>
    </w:p>
    <w:p w14:paraId="54DB88DE" w14:textId="77777777" w:rsidR="009146AD" w:rsidRPr="003E659D" w:rsidRDefault="009146AD" w:rsidP="009146AD">
      <w:pPr>
        <w:pStyle w:val="WPPR3"/>
        <w:numPr>
          <w:ilvl w:val="4"/>
          <w:numId w:val="21"/>
        </w:numPr>
        <w:rPr>
          <w:rFonts w:asciiTheme="minorHAnsi" w:hAnsiTheme="minorHAnsi" w:cstheme="minorHAnsi"/>
        </w:rPr>
      </w:pPr>
      <w:r w:rsidRPr="003E659D">
        <w:rPr>
          <w:rFonts w:asciiTheme="minorHAnsi" w:hAnsiTheme="minorHAnsi" w:cstheme="minorHAnsi"/>
        </w:rPr>
        <w:t xml:space="preserve">Have an input rating of less than 75,000 </w:t>
      </w:r>
      <w:proofErr w:type="spellStart"/>
      <w:r w:rsidRPr="003E659D">
        <w:rPr>
          <w:rFonts w:asciiTheme="minorHAnsi" w:hAnsiTheme="minorHAnsi" w:cstheme="minorHAnsi"/>
        </w:rPr>
        <w:t>kBTU</w:t>
      </w:r>
      <w:proofErr w:type="spellEnd"/>
      <w:r w:rsidRPr="003E659D">
        <w:rPr>
          <w:rFonts w:asciiTheme="minorHAnsi" w:hAnsiTheme="minorHAnsi" w:cstheme="minorHAnsi"/>
        </w:rPr>
        <w:t>/hour.</w:t>
      </w:r>
    </w:p>
    <w:p w14:paraId="051E9088" w14:textId="77777777" w:rsidR="009146AD" w:rsidRPr="003E659D" w:rsidRDefault="009146AD" w:rsidP="009146AD">
      <w:pPr>
        <w:pStyle w:val="WPPR3"/>
        <w:numPr>
          <w:ilvl w:val="4"/>
          <w:numId w:val="21"/>
        </w:numPr>
        <w:rPr>
          <w:rFonts w:asciiTheme="minorHAnsi" w:hAnsiTheme="minorHAnsi" w:cstheme="minorHAnsi"/>
        </w:rPr>
      </w:pPr>
      <w:r w:rsidRPr="003E659D">
        <w:rPr>
          <w:rFonts w:asciiTheme="minorHAnsi" w:hAnsiTheme="minorHAnsi" w:cstheme="minorHAnsi"/>
        </w:rPr>
        <w:t>Never be used for process end-use.</w:t>
      </w:r>
    </w:p>
    <w:p w14:paraId="6A6116E8" w14:textId="77777777" w:rsidR="009146AD" w:rsidRDefault="009146AD" w:rsidP="00A92029">
      <w:pPr>
        <w:rPr>
          <w:rFonts w:cstheme="minorHAnsi"/>
          <w:sz w:val="20"/>
          <w:szCs w:val="20"/>
        </w:rPr>
      </w:pPr>
    </w:p>
    <w:tbl>
      <w:tblPr>
        <w:tblStyle w:val="TableGrid"/>
        <w:tblW w:w="0" w:type="auto"/>
        <w:tblLook w:val="04A0" w:firstRow="1" w:lastRow="0" w:firstColumn="1" w:lastColumn="0" w:noHBand="0" w:noVBand="1"/>
      </w:tblPr>
      <w:tblGrid>
        <w:gridCol w:w="2401"/>
        <w:gridCol w:w="6949"/>
      </w:tblGrid>
      <w:tr w:rsidR="00DB71F1" w:rsidRPr="00A92029" w14:paraId="40F7A86E" w14:textId="77777777" w:rsidTr="00FB6ADB">
        <w:trPr>
          <w:cantSplit/>
          <w:tblHeader/>
        </w:trPr>
        <w:tc>
          <w:tcPr>
            <w:tcW w:w="2401" w:type="dxa"/>
          </w:tcPr>
          <w:p w14:paraId="25784FD3" w14:textId="331D35DE" w:rsidR="00DB71F1" w:rsidRPr="00A92029" w:rsidRDefault="00DB71F1" w:rsidP="00393EC8">
            <w:pPr>
              <w:jc w:val="center"/>
              <w:rPr>
                <w:rFonts w:cstheme="minorHAnsi"/>
                <w:b/>
                <w:sz w:val="20"/>
                <w:szCs w:val="20"/>
              </w:rPr>
            </w:pPr>
            <w:r w:rsidRPr="00A92029">
              <w:rPr>
                <w:rFonts w:cstheme="minorHAnsi"/>
                <w:sz w:val="20"/>
                <w:szCs w:val="20"/>
              </w:rPr>
              <w:br w:type="page"/>
            </w:r>
            <w:r w:rsidRPr="00A92029">
              <w:rPr>
                <w:rFonts w:cstheme="minorHAnsi"/>
                <w:b/>
                <w:sz w:val="20"/>
                <w:szCs w:val="20"/>
              </w:rPr>
              <w:t>Section</w:t>
            </w:r>
          </w:p>
        </w:tc>
        <w:tc>
          <w:tcPr>
            <w:tcW w:w="6949" w:type="dxa"/>
          </w:tcPr>
          <w:p w14:paraId="139B1EC2" w14:textId="77777777" w:rsidR="00DB71F1" w:rsidRPr="00A92029" w:rsidRDefault="00DB71F1" w:rsidP="00393EC8">
            <w:pPr>
              <w:jc w:val="center"/>
              <w:rPr>
                <w:rFonts w:cstheme="minorHAnsi"/>
                <w:b/>
                <w:sz w:val="20"/>
                <w:szCs w:val="20"/>
              </w:rPr>
            </w:pPr>
            <w:r w:rsidRPr="00A92029">
              <w:rPr>
                <w:rFonts w:cstheme="minorHAnsi"/>
                <w:b/>
                <w:sz w:val="20"/>
                <w:szCs w:val="20"/>
              </w:rPr>
              <w:t>Value</w:t>
            </w:r>
          </w:p>
        </w:tc>
      </w:tr>
      <w:tr w:rsidR="00DB71F1" w:rsidRPr="00A92029" w14:paraId="76B8E484" w14:textId="77777777" w:rsidTr="00FB6ADB">
        <w:trPr>
          <w:cantSplit/>
        </w:trPr>
        <w:tc>
          <w:tcPr>
            <w:tcW w:w="2401" w:type="dxa"/>
            <w:vAlign w:val="center"/>
          </w:tcPr>
          <w:p w14:paraId="78056763" w14:textId="77777777" w:rsidR="00DB71F1" w:rsidRPr="00A92029" w:rsidRDefault="00DB71F1" w:rsidP="00393EC8">
            <w:pPr>
              <w:rPr>
                <w:rFonts w:cstheme="minorHAnsi"/>
                <w:b/>
                <w:sz w:val="20"/>
                <w:szCs w:val="20"/>
              </w:rPr>
            </w:pPr>
            <w:r w:rsidRPr="00A92029">
              <w:rPr>
                <w:rFonts w:cstheme="minorHAnsi"/>
                <w:b/>
                <w:sz w:val="20"/>
                <w:szCs w:val="20"/>
              </w:rPr>
              <w:t>Summary &amp; Purpose</w:t>
            </w:r>
          </w:p>
        </w:tc>
        <w:tc>
          <w:tcPr>
            <w:tcW w:w="6949" w:type="dxa"/>
          </w:tcPr>
          <w:p w14:paraId="025C4298" w14:textId="77777777" w:rsidR="00672876" w:rsidRPr="00672876" w:rsidRDefault="00672876" w:rsidP="00672876">
            <w:pPr>
              <w:rPr>
                <w:rFonts w:cstheme="minorHAnsi"/>
                <w:sz w:val="20"/>
                <w:szCs w:val="20"/>
              </w:rPr>
            </w:pPr>
            <w:r w:rsidRPr="00672876">
              <w:rPr>
                <w:rFonts w:cstheme="minorHAnsi"/>
                <w:sz w:val="20"/>
                <w:szCs w:val="20"/>
              </w:rPr>
              <w:t xml:space="preserve">High efficient storage water heaters are characterized by having superior insulating material and very effective heat transfer surfaces. These features reduce the water heaters envelope losses and the energy required to maintain the water at the desired set point temperature. In effect these reductions affect the work required by the water heater and provide an opportunity for energy savings. </w:t>
            </w:r>
          </w:p>
          <w:p w14:paraId="28737DFD" w14:textId="77777777" w:rsidR="00887C15" w:rsidRDefault="00887C15" w:rsidP="003F3AA6">
            <w:pPr>
              <w:rPr>
                <w:rFonts w:cstheme="minorHAnsi"/>
                <w:sz w:val="20"/>
                <w:szCs w:val="20"/>
              </w:rPr>
            </w:pPr>
          </w:p>
          <w:p w14:paraId="71B5124D" w14:textId="5286A2A3" w:rsidR="00887C15" w:rsidRPr="00A92029" w:rsidRDefault="00887C15" w:rsidP="003F3AA6">
            <w:pPr>
              <w:rPr>
                <w:rFonts w:cstheme="minorHAnsi"/>
                <w:sz w:val="20"/>
                <w:szCs w:val="20"/>
              </w:rPr>
            </w:pPr>
            <w:r>
              <w:rPr>
                <w:rFonts w:cstheme="minorHAnsi"/>
                <w:sz w:val="20"/>
                <w:szCs w:val="20"/>
              </w:rPr>
              <w:t xml:space="preserve">Revision </w:t>
            </w:r>
            <w:r w:rsidR="00540AF6">
              <w:rPr>
                <w:rFonts w:cstheme="minorHAnsi"/>
                <w:sz w:val="20"/>
                <w:szCs w:val="20"/>
              </w:rPr>
              <w:t>2</w:t>
            </w:r>
            <w:r>
              <w:rPr>
                <w:rFonts w:cstheme="minorHAnsi"/>
                <w:sz w:val="20"/>
                <w:szCs w:val="20"/>
              </w:rPr>
              <w:t xml:space="preserve"> </w:t>
            </w:r>
            <w:r w:rsidR="00320B48">
              <w:rPr>
                <w:rFonts w:cstheme="minorHAnsi"/>
                <w:sz w:val="20"/>
                <w:szCs w:val="20"/>
              </w:rPr>
              <w:t xml:space="preserve">is in response to CPUC Disposition on February 6, 2019 directing IOU/PAs to adopt the latest DEER 2019 water heating calculator energy impacts and READI v2.5.1 </w:t>
            </w:r>
            <w:proofErr w:type="spellStart"/>
            <w:r w:rsidR="00320B48">
              <w:rPr>
                <w:rFonts w:cstheme="minorHAnsi"/>
                <w:sz w:val="20"/>
                <w:szCs w:val="20"/>
              </w:rPr>
              <w:t>MeasureIDs</w:t>
            </w:r>
            <w:proofErr w:type="spellEnd"/>
            <w:r w:rsidR="00320B48">
              <w:rPr>
                <w:rFonts w:cstheme="minorHAnsi"/>
                <w:sz w:val="20"/>
                <w:szCs w:val="20"/>
              </w:rPr>
              <w:t xml:space="preserve"> and </w:t>
            </w:r>
            <w:proofErr w:type="spellStart"/>
            <w:r w:rsidR="00320B48">
              <w:rPr>
                <w:rFonts w:cstheme="minorHAnsi"/>
                <w:sz w:val="20"/>
                <w:szCs w:val="20"/>
              </w:rPr>
              <w:t>ImpactIDs</w:t>
            </w:r>
            <w:proofErr w:type="spellEnd"/>
            <w:r w:rsidR="00320B48">
              <w:rPr>
                <w:rFonts w:cstheme="minorHAnsi"/>
                <w:sz w:val="20"/>
                <w:szCs w:val="20"/>
              </w:rPr>
              <w:t xml:space="preserve"> associated with residential gas storage water heaters (rated under 75kBTU/h) for addressing the federal code change rating from</w:t>
            </w:r>
            <w:r>
              <w:rPr>
                <w:rFonts w:cstheme="minorHAnsi"/>
                <w:sz w:val="20"/>
                <w:szCs w:val="20"/>
              </w:rPr>
              <w:t xml:space="preserve"> EF to UEF</w:t>
            </w:r>
            <w:r w:rsidR="00320B48">
              <w:rPr>
                <w:rFonts w:cstheme="minorHAnsi"/>
                <w:sz w:val="20"/>
                <w:szCs w:val="20"/>
              </w:rPr>
              <w:t xml:space="preserve">. </w:t>
            </w:r>
            <w:r>
              <w:rPr>
                <w:rFonts w:cstheme="minorHAnsi"/>
                <w:sz w:val="20"/>
                <w:szCs w:val="20"/>
              </w:rPr>
              <w:t xml:space="preserve"> The costs were adopted from SCG’s WPSCGREWH180207A-Rev00.</w:t>
            </w:r>
          </w:p>
          <w:p w14:paraId="4A8BF814" w14:textId="77777777" w:rsidR="00DB71F1" w:rsidRPr="00A92029" w:rsidRDefault="00DB71F1" w:rsidP="0023444F">
            <w:pPr>
              <w:rPr>
                <w:rFonts w:cstheme="minorHAnsi"/>
                <w:sz w:val="20"/>
                <w:szCs w:val="20"/>
              </w:rPr>
            </w:pPr>
          </w:p>
        </w:tc>
      </w:tr>
      <w:tr w:rsidR="00B42D64" w:rsidRPr="00A92029" w14:paraId="52E11E58" w14:textId="77777777" w:rsidTr="00FB6ADB">
        <w:trPr>
          <w:cantSplit/>
        </w:trPr>
        <w:tc>
          <w:tcPr>
            <w:tcW w:w="2401" w:type="dxa"/>
            <w:vAlign w:val="center"/>
          </w:tcPr>
          <w:p w14:paraId="2E238035" w14:textId="77777777" w:rsidR="00B42D64" w:rsidRPr="00A92029" w:rsidRDefault="00B42D64" w:rsidP="00B42D64">
            <w:pPr>
              <w:rPr>
                <w:rFonts w:cstheme="minorHAnsi"/>
                <w:b/>
                <w:sz w:val="20"/>
                <w:szCs w:val="20"/>
              </w:rPr>
            </w:pPr>
            <w:r w:rsidRPr="00A92029">
              <w:rPr>
                <w:rFonts w:cstheme="minorHAnsi"/>
                <w:b/>
                <w:sz w:val="20"/>
                <w:szCs w:val="20"/>
              </w:rPr>
              <w:t>1.1 Measure &amp; Baseline Data</w:t>
            </w:r>
          </w:p>
        </w:tc>
        <w:tc>
          <w:tcPr>
            <w:tcW w:w="6949" w:type="dxa"/>
          </w:tcPr>
          <w:p w14:paraId="22FA4C98" w14:textId="77777777" w:rsidR="00D64150" w:rsidRPr="00A92029" w:rsidRDefault="00D64150" w:rsidP="00197371">
            <w:pPr>
              <w:pStyle w:val="Caption"/>
              <w:jc w:val="center"/>
              <w:rPr>
                <w:rFonts w:cstheme="minorHAnsi"/>
                <w:sz w:val="20"/>
                <w:szCs w:val="20"/>
              </w:rPr>
            </w:pPr>
          </w:p>
          <w:tbl>
            <w:tblPr>
              <w:tblStyle w:val="TableGrid"/>
              <w:tblW w:w="2538" w:type="pct"/>
              <w:tblInd w:w="1652" w:type="dxa"/>
              <w:tblLook w:val="04A0" w:firstRow="1" w:lastRow="0" w:firstColumn="1" w:lastColumn="0" w:noHBand="0" w:noVBand="1"/>
            </w:tblPr>
            <w:tblGrid>
              <w:gridCol w:w="3413"/>
            </w:tblGrid>
            <w:tr w:rsidR="00A54FC8" w:rsidRPr="00A92029" w14:paraId="32328088" w14:textId="77777777" w:rsidTr="00A54FC8">
              <w:trPr>
                <w:trHeight w:val="251"/>
              </w:trPr>
              <w:tc>
                <w:tcPr>
                  <w:tcW w:w="5000" w:type="pct"/>
                </w:tcPr>
                <w:p w14:paraId="775926CD" w14:textId="77777777" w:rsidR="00A54FC8" w:rsidRPr="00A92029" w:rsidRDefault="00A54FC8" w:rsidP="00197371">
                  <w:pPr>
                    <w:jc w:val="center"/>
                    <w:rPr>
                      <w:rFonts w:cstheme="minorHAnsi"/>
                      <w:sz w:val="20"/>
                      <w:szCs w:val="20"/>
                    </w:rPr>
                  </w:pPr>
                  <w:bookmarkStart w:id="2" w:name="_Hlk502241189"/>
                  <w:r w:rsidRPr="00A92029">
                    <w:rPr>
                      <w:rFonts w:cstheme="minorHAnsi"/>
                      <w:sz w:val="20"/>
                      <w:szCs w:val="20"/>
                    </w:rPr>
                    <w:t xml:space="preserve"> DEER Measure ID</w:t>
                  </w:r>
                </w:p>
              </w:tc>
            </w:tr>
            <w:tr w:rsidR="00A54FC8" w:rsidRPr="00A92029" w14:paraId="1675F88C" w14:textId="77777777" w:rsidTr="00A54FC8">
              <w:tc>
                <w:tcPr>
                  <w:tcW w:w="5000" w:type="pct"/>
                  <w:vAlign w:val="bottom"/>
                </w:tcPr>
                <w:p w14:paraId="5679B733" w14:textId="77777777" w:rsidR="00A54FC8" w:rsidRPr="00A92029" w:rsidRDefault="00A54FC8" w:rsidP="00197371">
                  <w:pPr>
                    <w:jc w:val="center"/>
                    <w:rPr>
                      <w:rFonts w:cstheme="minorHAnsi"/>
                      <w:sz w:val="20"/>
                      <w:szCs w:val="20"/>
                    </w:rPr>
                  </w:pPr>
                  <w:r w:rsidRPr="00326AC4">
                    <w:rPr>
                      <w:rFonts w:cstheme="minorHAnsi"/>
                      <w:sz w:val="20"/>
                      <w:szCs w:val="20"/>
                    </w:rPr>
                    <w:t>RG-WtrHt-SmlStrg-Gas-Ite75kBtuh-40G-HI-0p68UEF</w:t>
                  </w:r>
                </w:p>
              </w:tc>
            </w:tr>
            <w:tr w:rsidR="00A54FC8" w:rsidRPr="00A92029" w14:paraId="37AB30E2" w14:textId="77777777" w:rsidTr="00A54FC8">
              <w:tc>
                <w:tcPr>
                  <w:tcW w:w="5000" w:type="pct"/>
                  <w:vAlign w:val="bottom"/>
                </w:tcPr>
                <w:p w14:paraId="46CCBE3E" w14:textId="77777777" w:rsidR="00A54FC8" w:rsidRPr="00A92029" w:rsidRDefault="00A54FC8" w:rsidP="00197371">
                  <w:pPr>
                    <w:jc w:val="center"/>
                    <w:rPr>
                      <w:rFonts w:cstheme="minorHAnsi"/>
                      <w:sz w:val="20"/>
                      <w:szCs w:val="20"/>
                    </w:rPr>
                  </w:pPr>
                  <w:r w:rsidRPr="00326AC4">
                    <w:rPr>
                      <w:rFonts w:cstheme="minorHAnsi"/>
                      <w:sz w:val="20"/>
                      <w:szCs w:val="20"/>
                    </w:rPr>
                    <w:t>RG-WtrHt-SmlStrg-Gas-Ite75kBtuh-40G-MD-0p64UEF</w:t>
                  </w:r>
                </w:p>
              </w:tc>
            </w:tr>
            <w:tr w:rsidR="00A54FC8" w:rsidRPr="00A92029" w14:paraId="4FD07561" w14:textId="77777777" w:rsidTr="00A54FC8">
              <w:tc>
                <w:tcPr>
                  <w:tcW w:w="5000" w:type="pct"/>
                  <w:vAlign w:val="bottom"/>
                </w:tcPr>
                <w:p w14:paraId="3D7F1835" w14:textId="77777777" w:rsidR="00A54FC8" w:rsidRPr="00326AC4" w:rsidRDefault="00A54FC8" w:rsidP="00197371">
                  <w:pPr>
                    <w:jc w:val="center"/>
                    <w:rPr>
                      <w:rFonts w:cstheme="minorHAnsi"/>
                      <w:sz w:val="20"/>
                      <w:szCs w:val="20"/>
                    </w:rPr>
                  </w:pPr>
                  <w:r w:rsidRPr="00326AC4">
                    <w:rPr>
                      <w:rFonts w:cstheme="minorHAnsi"/>
                      <w:sz w:val="20"/>
                      <w:szCs w:val="20"/>
                    </w:rPr>
                    <w:t>RG-WtrHt-SmlStrg-Gas-Ite75kBtuh-50G-HI-0p68UEF</w:t>
                  </w:r>
                </w:p>
              </w:tc>
            </w:tr>
            <w:tr w:rsidR="00A54FC8" w:rsidRPr="00A92029" w14:paraId="63E680B9" w14:textId="77777777" w:rsidTr="00A54FC8">
              <w:tc>
                <w:tcPr>
                  <w:tcW w:w="5000" w:type="pct"/>
                  <w:vAlign w:val="bottom"/>
                </w:tcPr>
                <w:p w14:paraId="0B33F910" w14:textId="77777777" w:rsidR="00A54FC8" w:rsidRPr="00326AC4" w:rsidRDefault="00A54FC8" w:rsidP="00197371">
                  <w:pPr>
                    <w:jc w:val="center"/>
                    <w:rPr>
                      <w:rFonts w:cstheme="minorHAnsi"/>
                      <w:sz w:val="20"/>
                      <w:szCs w:val="20"/>
                    </w:rPr>
                  </w:pPr>
                  <w:r w:rsidRPr="00326AC4">
                    <w:rPr>
                      <w:rFonts w:cstheme="minorHAnsi"/>
                      <w:sz w:val="20"/>
                      <w:szCs w:val="20"/>
                    </w:rPr>
                    <w:t>RG-WtrHt-SmlStrg-Gas-Ite75kBtuh-50G-MD-0p64UEF</w:t>
                  </w:r>
                </w:p>
              </w:tc>
            </w:tr>
            <w:bookmarkEnd w:id="2"/>
          </w:tbl>
          <w:p w14:paraId="1CE535F7" w14:textId="77777777" w:rsidR="00B42D64" w:rsidRPr="00A92029" w:rsidRDefault="00B42D64" w:rsidP="00D64150">
            <w:pPr>
              <w:rPr>
                <w:rFonts w:cstheme="minorHAnsi"/>
                <w:sz w:val="20"/>
                <w:szCs w:val="20"/>
              </w:rPr>
            </w:pPr>
          </w:p>
          <w:p w14:paraId="205408C5" w14:textId="77777777" w:rsidR="00025747" w:rsidRPr="00A92029" w:rsidRDefault="00025747" w:rsidP="00D64150">
            <w:pPr>
              <w:rPr>
                <w:rFonts w:cstheme="minorHAnsi"/>
                <w:sz w:val="20"/>
                <w:szCs w:val="20"/>
              </w:rPr>
            </w:pPr>
          </w:p>
        </w:tc>
      </w:tr>
      <w:tr w:rsidR="00523326" w:rsidRPr="00A92029" w14:paraId="1FB93185" w14:textId="77777777" w:rsidTr="00FB6ADB">
        <w:trPr>
          <w:cantSplit/>
        </w:trPr>
        <w:tc>
          <w:tcPr>
            <w:tcW w:w="2401" w:type="dxa"/>
            <w:vAlign w:val="center"/>
          </w:tcPr>
          <w:p w14:paraId="2155F953" w14:textId="77777777" w:rsidR="00523326" w:rsidRPr="00A92029" w:rsidRDefault="00523326" w:rsidP="00523326">
            <w:pPr>
              <w:rPr>
                <w:rFonts w:cstheme="minorHAnsi"/>
                <w:b/>
                <w:sz w:val="20"/>
                <w:szCs w:val="20"/>
              </w:rPr>
            </w:pPr>
            <w:r w:rsidRPr="00A92029">
              <w:rPr>
                <w:rFonts w:cstheme="minorHAnsi"/>
                <w:b/>
                <w:sz w:val="20"/>
                <w:szCs w:val="20"/>
              </w:rPr>
              <w:t xml:space="preserve">1.2 Technical Description </w:t>
            </w:r>
          </w:p>
        </w:tc>
        <w:tc>
          <w:tcPr>
            <w:tcW w:w="6949" w:type="dxa"/>
          </w:tcPr>
          <w:p w14:paraId="7A4AB972" w14:textId="77777777" w:rsidR="00523326" w:rsidRPr="00A92029" w:rsidRDefault="00523326" w:rsidP="00523326">
            <w:pPr>
              <w:pStyle w:val="Caption"/>
              <w:jc w:val="center"/>
              <w:rPr>
                <w:rFonts w:cstheme="minorHAnsi"/>
                <w:sz w:val="20"/>
                <w:szCs w:val="20"/>
              </w:rPr>
            </w:pPr>
          </w:p>
        </w:tc>
      </w:tr>
      <w:tr w:rsidR="00523326" w:rsidRPr="00A92029" w14:paraId="1EA978BA" w14:textId="77777777" w:rsidTr="00FB6ADB">
        <w:trPr>
          <w:cantSplit/>
        </w:trPr>
        <w:tc>
          <w:tcPr>
            <w:tcW w:w="2401" w:type="dxa"/>
          </w:tcPr>
          <w:p w14:paraId="1EAD6C66" w14:textId="77777777" w:rsidR="00523326" w:rsidRPr="00A92029" w:rsidRDefault="00523326" w:rsidP="00523326">
            <w:pPr>
              <w:jc w:val="right"/>
              <w:rPr>
                <w:rFonts w:cstheme="minorHAnsi"/>
                <w:sz w:val="20"/>
                <w:szCs w:val="20"/>
              </w:rPr>
            </w:pPr>
            <w:r w:rsidRPr="00A92029">
              <w:rPr>
                <w:rFonts w:cstheme="minorHAnsi"/>
                <w:sz w:val="20"/>
                <w:szCs w:val="20"/>
              </w:rPr>
              <w:lastRenderedPageBreak/>
              <w:t>Measures</w:t>
            </w:r>
          </w:p>
        </w:tc>
        <w:tc>
          <w:tcPr>
            <w:tcW w:w="6949" w:type="dxa"/>
          </w:tcPr>
          <w:p w14:paraId="7E24378E" w14:textId="749F3272" w:rsidR="00523326" w:rsidRPr="00A92029" w:rsidRDefault="00523326" w:rsidP="00523326">
            <w:pPr>
              <w:rPr>
                <w:rFonts w:cstheme="minorHAnsi"/>
                <w:sz w:val="20"/>
                <w:szCs w:val="20"/>
              </w:rPr>
            </w:pPr>
            <w:r w:rsidRPr="00A92029">
              <w:rPr>
                <w:rFonts w:cstheme="minorHAnsi"/>
                <w:sz w:val="20"/>
                <w:szCs w:val="20"/>
              </w:rPr>
              <w:t xml:space="preserve">Energy </w:t>
            </w:r>
            <w:r w:rsidR="001E3ACA">
              <w:rPr>
                <w:rFonts w:cstheme="minorHAnsi"/>
                <w:sz w:val="20"/>
                <w:szCs w:val="20"/>
              </w:rPr>
              <w:t>s</w:t>
            </w:r>
            <w:r w:rsidRPr="00A92029">
              <w:rPr>
                <w:rFonts w:cstheme="minorHAnsi"/>
                <w:sz w:val="20"/>
                <w:szCs w:val="20"/>
              </w:rPr>
              <w:t xml:space="preserve">avings for the measures included in this workpaper </w:t>
            </w:r>
            <w:r w:rsidR="00326AC4">
              <w:rPr>
                <w:rFonts w:cstheme="minorHAnsi"/>
                <w:sz w:val="20"/>
                <w:szCs w:val="20"/>
              </w:rPr>
              <w:t>references</w:t>
            </w:r>
            <w:r w:rsidRPr="00A92029">
              <w:rPr>
                <w:rFonts w:cstheme="minorHAnsi"/>
                <w:sz w:val="20"/>
                <w:szCs w:val="20"/>
              </w:rPr>
              <w:t xml:space="preserve"> </w:t>
            </w:r>
            <w:r w:rsidR="00535231">
              <w:rPr>
                <w:rFonts w:cstheme="minorHAnsi"/>
                <w:sz w:val="20"/>
                <w:szCs w:val="20"/>
              </w:rPr>
              <w:t xml:space="preserve">READI v2.5.1 </w:t>
            </w:r>
            <w:r w:rsidRPr="00A92029">
              <w:rPr>
                <w:rFonts w:cstheme="minorHAnsi"/>
                <w:sz w:val="20"/>
                <w:szCs w:val="20"/>
              </w:rPr>
              <w:t xml:space="preserve">DEER </w:t>
            </w:r>
            <w:proofErr w:type="spellStart"/>
            <w:r w:rsidR="00535231">
              <w:rPr>
                <w:rFonts w:cstheme="minorHAnsi"/>
                <w:sz w:val="20"/>
                <w:szCs w:val="20"/>
              </w:rPr>
              <w:t>Meaasure</w:t>
            </w:r>
            <w:r w:rsidR="00326AC4">
              <w:rPr>
                <w:rFonts w:cstheme="minorHAnsi"/>
                <w:sz w:val="20"/>
                <w:szCs w:val="20"/>
              </w:rPr>
              <w:t>ID</w:t>
            </w:r>
            <w:r w:rsidR="00535231">
              <w:rPr>
                <w:rFonts w:cstheme="minorHAnsi"/>
                <w:sz w:val="20"/>
                <w:szCs w:val="20"/>
              </w:rPr>
              <w:t>s</w:t>
            </w:r>
            <w:proofErr w:type="spellEnd"/>
            <w:r w:rsidR="00535231">
              <w:rPr>
                <w:rFonts w:cstheme="minorHAnsi"/>
                <w:sz w:val="20"/>
                <w:szCs w:val="20"/>
              </w:rPr>
              <w:t xml:space="preserve"> and energy efficiency </w:t>
            </w:r>
            <w:proofErr w:type="spellStart"/>
            <w:r w:rsidR="00535231">
              <w:rPr>
                <w:rFonts w:cstheme="minorHAnsi"/>
                <w:sz w:val="20"/>
                <w:szCs w:val="20"/>
              </w:rPr>
              <w:t>ImpactID</w:t>
            </w:r>
            <w:r w:rsidR="00326AC4">
              <w:rPr>
                <w:rFonts w:cstheme="minorHAnsi"/>
                <w:sz w:val="20"/>
                <w:szCs w:val="20"/>
              </w:rPr>
              <w:t>s</w:t>
            </w:r>
            <w:proofErr w:type="spellEnd"/>
            <w:r w:rsidR="00326AC4">
              <w:rPr>
                <w:rFonts w:cstheme="minorHAnsi"/>
                <w:sz w:val="20"/>
                <w:szCs w:val="20"/>
              </w:rPr>
              <w:t xml:space="preserve"> </w:t>
            </w:r>
            <w:r w:rsidR="00535231">
              <w:rPr>
                <w:rFonts w:cstheme="minorHAnsi"/>
                <w:sz w:val="20"/>
                <w:szCs w:val="20"/>
              </w:rPr>
              <w:t>with a start date of 1/1/2019.</w:t>
            </w:r>
            <w:r w:rsidR="00C12EA6">
              <w:rPr>
                <w:rFonts w:cstheme="minorHAnsi"/>
                <w:sz w:val="20"/>
                <w:szCs w:val="20"/>
              </w:rPr>
              <w:t xml:space="preserve"> </w:t>
            </w:r>
            <w:bookmarkStart w:id="3" w:name="_GoBack"/>
            <w:bookmarkEnd w:id="3"/>
            <w:r w:rsidR="00C12EA6">
              <w:rPr>
                <w:rFonts w:cstheme="minorHAnsi"/>
                <w:sz w:val="20"/>
                <w:szCs w:val="20"/>
              </w:rPr>
              <w:t xml:space="preserve"> </w:t>
            </w:r>
          </w:p>
          <w:p w14:paraId="4E742CC2" w14:textId="77777777" w:rsidR="00523326" w:rsidRPr="00A92029" w:rsidRDefault="00523326" w:rsidP="00523326">
            <w:pPr>
              <w:rPr>
                <w:rFonts w:cstheme="minorHAnsi"/>
                <w:sz w:val="20"/>
                <w:szCs w:val="20"/>
              </w:rPr>
            </w:pPr>
          </w:p>
          <w:tbl>
            <w:tblPr>
              <w:tblStyle w:val="TableGrid"/>
              <w:tblW w:w="4274" w:type="pct"/>
              <w:jc w:val="center"/>
              <w:tblLook w:val="04A0" w:firstRow="1" w:lastRow="0" w:firstColumn="1" w:lastColumn="0" w:noHBand="0" w:noVBand="1"/>
            </w:tblPr>
            <w:tblGrid>
              <w:gridCol w:w="1562"/>
              <w:gridCol w:w="1168"/>
              <w:gridCol w:w="1174"/>
              <w:gridCol w:w="2271"/>
            </w:tblGrid>
            <w:tr w:rsidR="00326AC4" w:rsidRPr="00A92029" w14:paraId="708622E3" w14:textId="77777777" w:rsidTr="00326AC4">
              <w:trPr>
                <w:trHeight w:val="251"/>
                <w:jc w:val="center"/>
              </w:trPr>
              <w:tc>
                <w:tcPr>
                  <w:tcW w:w="1266" w:type="pct"/>
                  <w:vAlign w:val="center"/>
                </w:tcPr>
                <w:p w14:paraId="59E5F726" w14:textId="77777777" w:rsidR="00326AC4" w:rsidRPr="00A92029" w:rsidRDefault="00326AC4" w:rsidP="00523326">
                  <w:pPr>
                    <w:jc w:val="center"/>
                    <w:rPr>
                      <w:rFonts w:cstheme="minorHAnsi"/>
                      <w:b/>
                      <w:sz w:val="20"/>
                      <w:szCs w:val="20"/>
                    </w:rPr>
                  </w:pPr>
                  <w:r w:rsidRPr="00A92029">
                    <w:rPr>
                      <w:rFonts w:cstheme="minorHAnsi"/>
                      <w:b/>
                      <w:sz w:val="20"/>
                      <w:szCs w:val="20"/>
                    </w:rPr>
                    <w:t>Implementation ID.</w:t>
                  </w:r>
                </w:p>
              </w:tc>
              <w:tc>
                <w:tcPr>
                  <w:tcW w:w="946" w:type="pct"/>
                  <w:vAlign w:val="center"/>
                </w:tcPr>
                <w:p w14:paraId="6647637D" w14:textId="77777777" w:rsidR="00326AC4" w:rsidRPr="00A92029" w:rsidRDefault="00326AC4" w:rsidP="00523326">
                  <w:pPr>
                    <w:jc w:val="center"/>
                    <w:rPr>
                      <w:rFonts w:cstheme="minorHAnsi"/>
                      <w:b/>
                      <w:sz w:val="20"/>
                      <w:szCs w:val="20"/>
                    </w:rPr>
                  </w:pPr>
                  <w:r w:rsidRPr="00A92029">
                    <w:rPr>
                      <w:rFonts w:cstheme="minorHAnsi"/>
                      <w:b/>
                      <w:sz w:val="20"/>
                      <w:szCs w:val="20"/>
                    </w:rPr>
                    <w:t>Measure Description</w:t>
                  </w:r>
                </w:p>
              </w:tc>
              <w:tc>
                <w:tcPr>
                  <w:tcW w:w="948" w:type="pct"/>
                  <w:vAlign w:val="center"/>
                </w:tcPr>
                <w:p w14:paraId="5BC0A7D2" w14:textId="77777777" w:rsidR="00326AC4" w:rsidRPr="00A92029" w:rsidRDefault="00326AC4" w:rsidP="00523326">
                  <w:pPr>
                    <w:jc w:val="center"/>
                    <w:rPr>
                      <w:rFonts w:cstheme="minorHAnsi"/>
                      <w:b/>
                      <w:sz w:val="20"/>
                      <w:szCs w:val="20"/>
                    </w:rPr>
                  </w:pPr>
                  <w:r w:rsidRPr="00A92029">
                    <w:rPr>
                      <w:rFonts w:cstheme="minorHAnsi"/>
                      <w:b/>
                      <w:sz w:val="20"/>
                      <w:szCs w:val="20"/>
                    </w:rPr>
                    <w:t>DEER Measure ID</w:t>
                  </w:r>
                </w:p>
              </w:tc>
              <w:tc>
                <w:tcPr>
                  <w:tcW w:w="1840" w:type="pct"/>
                  <w:vAlign w:val="center"/>
                </w:tcPr>
                <w:p w14:paraId="08F31555" w14:textId="77777777" w:rsidR="00326AC4" w:rsidRPr="00A92029" w:rsidRDefault="00326AC4" w:rsidP="00523326">
                  <w:pPr>
                    <w:jc w:val="center"/>
                    <w:rPr>
                      <w:rFonts w:cstheme="minorHAnsi"/>
                      <w:b/>
                      <w:sz w:val="20"/>
                      <w:szCs w:val="20"/>
                    </w:rPr>
                  </w:pPr>
                  <w:r w:rsidRPr="00A92029">
                    <w:rPr>
                      <w:rFonts w:cstheme="minorHAnsi"/>
                      <w:b/>
                      <w:sz w:val="20"/>
                      <w:szCs w:val="20"/>
                    </w:rPr>
                    <w:t>Delivery Type</w:t>
                  </w:r>
                </w:p>
              </w:tc>
            </w:tr>
            <w:tr w:rsidR="00326AC4" w:rsidRPr="00A92029" w14:paraId="128C025C" w14:textId="77777777" w:rsidTr="00326AC4">
              <w:trPr>
                <w:jc w:val="center"/>
              </w:trPr>
              <w:tc>
                <w:tcPr>
                  <w:tcW w:w="1266" w:type="pct"/>
                  <w:vAlign w:val="center"/>
                </w:tcPr>
                <w:p w14:paraId="64F54377" w14:textId="77777777" w:rsidR="00326AC4" w:rsidRPr="00A92029" w:rsidRDefault="007543CA" w:rsidP="00523326">
                  <w:pPr>
                    <w:jc w:val="center"/>
                    <w:rPr>
                      <w:rFonts w:cstheme="minorHAnsi"/>
                      <w:sz w:val="20"/>
                      <w:szCs w:val="20"/>
                    </w:rPr>
                  </w:pPr>
                  <w:r>
                    <w:rPr>
                      <w:rFonts w:cstheme="minorHAnsi"/>
                      <w:sz w:val="20"/>
                      <w:szCs w:val="20"/>
                    </w:rPr>
                    <w:t>465943</w:t>
                  </w:r>
                </w:p>
              </w:tc>
              <w:tc>
                <w:tcPr>
                  <w:tcW w:w="946" w:type="pct"/>
                  <w:vAlign w:val="center"/>
                </w:tcPr>
                <w:p w14:paraId="302A26BD" w14:textId="77777777" w:rsidR="00326AC4" w:rsidRPr="00A92029" w:rsidRDefault="007543CA" w:rsidP="00523326">
                  <w:pPr>
                    <w:rPr>
                      <w:rFonts w:cstheme="minorHAnsi"/>
                      <w:sz w:val="20"/>
                      <w:szCs w:val="20"/>
                    </w:rPr>
                  </w:pPr>
                  <w:r w:rsidRPr="007543CA">
                    <w:rPr>
                      <w:rFonts w:cstheme="minorHAnsi"/>
                      <w:sz w:val="20"/>
                      <w:szCs w:val="20"/>
                    </w:rPr>
                    <w:t>Natural Gas W/H 40 Gal UEF (0.64)</w:t>
                  </w:r>
                </w:p>
              </w:tc>
              <w:tc>
                <w:tcPr>
                  <w:tcW w:w="948" w:type="pct"/>
                  <w:vAlign w:val="center"/>
                </w:tcPr>
                <w:p w14:paraId="5C1CF9D3" w14:textId="77777777"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RG-WtrHt-SmlStrg-Gas-Ite75kBtuh-40G-MD-0p64UEF</w:t>
                  </w:r>
                </w:p>
              </w:tc>
              <w:tc>
                <w:tcPr>
                  <w:tcW w:w="1840" w:type="pct"/>
                  <w:vAlign w:val="center"/>
                </w:tcPr>
                <w:p w14:paraId="5EA8F356" w14:textId="77777777" w:rsidR="00326AC4" w:rsidRPr="00A92029" w:rsidRDefault="00326AC4"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r>
                    <w:rPr>
                      <w:rFonts w:cstheme="minorHAnsi"/>
                      <w:color w:val="000000"/>
                      <w:sz w:val="20"/>
                      <w:szCs w:val="20"/>
                    </w:rPr>
                    <w:t>/</w:t>
                  </w:r>
                  <w:proofErr w:type="spellStart"/>
                  <w:r>
                    <w:rPr>
                      <w:rFonts w:cstheme="minorHAnsi"/>
                      <w:color w:val="000000"/>
                      <w:sz w:val="20"/>
                      <w:szCs w:val="20"/>
                    </w:rPr>
                    <w:t>DnDeemed</w:t>
                  </w:r>
                  <w:proofErr w:type="spellEnd"/>
                </w:p>
              </w:tc>
            </w:tr>
            <w:tr w:rsidR="00326AC4" w:rsidRPr="00A92029" w14:paraId="76112598" w14:textId="77777777" w:rsidTr="00326AC4">
              <w:trPr>
                <w:jc w:val="center"/>
              </w:trPr>
              <w:tc>
                <w:tcPr>
                  <w:tcW w:w="1266" w:type="pct"/>
                  <w:vAlign w:val="center"/>
                </w:tcPr>
                <w:p w14:paraId="20434E47" w14:textId="77777777" w:rsidR="00326AC4" w:rsidRPr="00A92029" w:rsidRDefault="007543CA" w:rsidP="00523326">
                  <w:pPr>
                    <w:jc w:val="center"/>
                    <w:rPr>
                      <w:rFonts w:cstheme="minorHAnsi"/>
                      <w:sz w:val="20"/>
                      <w:szCs w:val="20"/>
                    </w:rPr>
                  </w:pPr>
                  <w:r>
                    <w:rPr>
                      <w:rFonts w:cstheme="minorHAnsi"/>
                      <w:sz w:val="20"/>
                      <w:szCs w:val="20"/>
                    </w:rPr>
                    <w:t>465944</w:t>
                  </w:r>
                </w:p>
              </w:tc>
              <w:tc>
                <w:tcPr>
                  <w:tcW w:w="946" w:type="pct"/>
                  <w:vAlign w:val="center"/>
                </w:tcPr>
                <w:p w14:paraId="511EBEE0" w14:textId="77777777" w:rsidR="00326AC4" w:rsidRPr="00A92029" w:rsidRDefault="00C12EA6" w:rsidP="00523326">
                  <w:pPr>
                    <w:rPr>
                      <w:rFonts w:cstheme="minorHAnsi"/>
                      <w:sz w:val="20"/>
                      <w:szCs w:val="20"/>
                    </w:rPr>
                  </w:pPr>
                  <w:r w:rsidRPr="00C12EA6">
                    <w:rPr>
                      <w:rFonts w:cstheme="minorHAnsi"/>
                      <w:sz w:val="20"/>
                      <w:szCs w:val="20"/>
                    </w:rPr>
                    <w:t>Natural Gas W/H 40 Gal UEF (0.68)</w:t>
                  </w:r>
                </w:p>
              </w:tc>
              <w:tc>
                <w:tcPr>
                  <w:tcW w:w="948" w:type="pct"/>
                  <w:vAlign w:val="center"/>
                </w:tcPr>
                <w:p w14:paraId="238D8359" w14:textId="77777777"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RG-WtrHt-SmlStrg-Gas-Ite75kBtuh-40G-HI-0p68UEF</w:t>
                  </w:r>
                </w:p>
              </w:tc>
              <w:tc>
                <w:tcPr>
                  <w:tcW w:w="1840" w:type="pct"/>
                  <w:vAlign w:val="center"/>
                </w:tcPr>
                <w:p w14:paraId="06F4BD5C" w14:textId="77777777" w:rsidR="00326AC4" w:rsidRPr="00A92029" w:rsidRDefault="00326AC4"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r>
                    <w:rPr>
                      <w:rFonts w:cstheme="minorHAnsi"/>
                      <w:color w:val="000000"/>
                      <w:sz w:val="20"/>
                      <w:szCs w:val="20"/>
                    </w:rPr>
                    <w:t>/</w:t>
                  </w:r>
                  <w:proofErr w:type="spellStart"/>
                  <w:r>
                    <w:rPr>
                      <w:rFonts w:cstheme="minorHAnsi"/>
                      <w:color w:val="000000"/>
                      <w:sz w:val="20"/>
                      <w:szCs w:val="20"/>
                    </w:rPr>
                    <w:t>DnDeemed</w:t>
                  </w:r>
                  <w:proofErr w:type="spellEnd"/>
                </w:p>
              </w:tc>
            </w:tr>
            <w:tr w:rsidR="00326AC4" w:rsidRPr="00A92029" w14:paraId="506487B7" w14:textId="77777777" w:rsidTr="00326AC4">
              <w:trPr>
                <w:jc w:val="center"/>
              </w:trPr>
              <w:tc>
                <w:tcPr>
                  <w:tcW w:w="1266" w:type="pct"/>
                  <w:vAlign w:val="center"/>
                </w:tcPr>
                <w:p w14:paraId="0ADC3ABF" w14:textId="77777777" w:rsidR="00326AC4" w:rsidRPr="00A92029" w:rsidRDefault="007543CA" w:rsidP="00523326">
                  <w:pPr>
                    <w:jc w:val="center"/>
                    <w:rPr>
                      <w:rFonts w:cstheme="minorHAnsi"/>
                      <w:sz w:val="20"/>
                      <w:szCs w:val="20"/>
                    </w:rPr>
                  </w:pPr>
                  <w:r>
                    <w:rPr>
                      <w:rFonts w:cstheme="minorHAnsi"/>
                      <w:sz w:val="20"/>
                      <w:szCs w:val="20"/>
                    </w:rPr>
                    <w:t>465945</w:t>
                  </w:r>
                </w:p>
              </w:tc>
              <w:tc>
                <w:tcPr>
                  <w:tcW w:w="946" w:type="pct"/>
                  <w:vAlign w:val="center"/>
                </w:tcPr>
                <w:p w14:paraId="3DC6750C" w14:textId="77777777" w:rsidR="00326AC4" w:rsidRPr="00A92029" w:rsidRDefault="00C12EA6" w:rsidP="00523326">
                  <w:pPr>
                    <w:rPr>
                      <w:rFonts w:cstheme="minorHAnsi"/>
                      <w:sz w:val="20"/>
                      <w:szCs w:val="20"/>
                    </w:rPr>
                  </w:pPr>
                  <w:r w:rsidRPr="00C12EA6">
                    <w:rPr>
                      <w:rFonts w:cstheme="minorHAnsi"/>
                      <w:sz w:val="20"/>
                      <w:szCs w:val="20"/>
                    </w:rPr>
                    <w:t>Natural Gas W/H 50 Gal UEF (0.64)</w:t>
                  </w:r>
                </w:p>
              </w:tc>
              <w:tc>
                <w:tcPr>
                  <w:tcW w:w="948" w:type="pct"/>
                  <w:vAlign w:val="center"/>
                </w:tcPr>
                <w:p w14:paraId="01852807" w14:textId="77777777"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RG-WtrHt-SmlStrg-Gas-Ite75kBtuh-50G-MD-0p64UEF</w:t>
                  </w:r>
                </w:p>
              </w:tc>
              <w:tc>
                <w:tcPr>
                  <w:tcW w:w="1840" w:type="pct"/>
                  <w:vAlign w:val="center"/>
                </w:tcPr>
                <w:p w14:paraId="6C5D3FC6" w14:textId="77777777" w:rsidR="00326AC4" w:rsidRPr="00A92029" w:rsidRDefault="00326AC4"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r>
                    <w:rPr>
                      <w:rFonts w:cstheme="minorHAnsi"/>
                      <w:color w:val="000000"/>
                      <w:sz w:val="20"/>
                      <w:szCs w:val="20"/>
                    </w:rPr>
                    <w:t>/</w:t>
                  </w:r>
                  <w:proofErr w:type="spellStart"/>
                  <w:r>
                    <w:rPr>
                      <w:rFonts w:cstheme="minorHAnsi"/>
                      <w:color w:val="000000"/>
                      <w:sz w:val="20"/>
                      <w:szCs w:val="20"/>
                    </w:rPr>
                    <w:t>DnDeemed</w:t>
                  </w:r>
                  <w:proofErr w:type="spellEnd"/>
                </w:p>
              </w:tc>
            </w:tr>
            <w:tr w:rsidR="00326AC4" w:rsidRPr="00A92029" w14:paraId="0BE33593" w14:textId="77777777" w:rsidTr="00326AC4">
              <w:trPr>
                <w:jc w:val="center"/>
              </w:trPr>
              <w:tc>
                <w:tcPr>
                  <w:tcW w:w="1266" w:type="pct"/>
                  <w:vAlign w:val="center"/>
                </w:tcPr>
                <w:p w14:paraId="3BB7555E" w14:textId="77777777" w:rsidR="00326AC4" w:rsidRPr="00A92029" w:rsidRDefault="007543CA" w:rsidP="00523326">
                  <w:pPr>
                    <w:jc w:val="center"/>
                    <w:rPr>
                      <w:rFonts w:cstheme="minorHAnsi"/>
                      <w:sz w:val="20"/>
                      <w:szCs w:val="20"/>
                    </w:rPr>
                  </w:pPr>
                  <w:r>
                    <w:rPr>
                      <w:rFonts w:cstheme="minorHAnsi"/>
                      <w:sz w:val="20"/>
                      <w:szCs w:val="20"/>
                    </w:rPr>
                    <w:t>465946</w:t>
                  </w:r>
                </w:p>
              </w:tc>
              <w:tc>
                <w:tcPr>
                  <w:tcW w:w="946" w:type="pct"/>
                  <w:vAlign w:val="center"/>
                </w:tcPr>
                <w:p w14:paraId="0352C17B" w14:textId="77777777" w:rsidR="00326AC4" w:rsidRPr="00A92029" w:rsidRDefault="00C12EA6" w:rsidP="00523326">
                  <w:pPr>
                    <w:rPr>
                      <w:rFonts w:cstheme="minorHAnsi"/>
                      <w:sz w:val="20"/>
                      <w:szCs w:val="20"/>
                    </w:rPr>
                  </w:pPr>
                  <w:r w:rsidRPr="00C12EA6">
                    <w:rPr>
                      <w:rFonts w:cstheme="minorHAnsi"/>
                      <w:sz w:val="20"/>
                      <w:szCs w:val="20"/>
                    </w:rPr>
                    <w:t>Natural Gas W/H 50 Gal UEF (0.68)</w:t>
                  </w:r>
                </w:p>
              </w:tc>
              <w:tc>
                <w:tcPr>
                  <w:tcW w:w="948" w:type="pct"/>
                  <w:vAlign w:val="center"/>
                </w:tcPr>
                <w:p w14:paraId="18D5465B" w14:textId="77777777"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RG-WtrHt-SmlStrg-Gas-Ite75kBtuh-50G-HI-0p68UEF</w:t>
                  </w:r>
                </w:p>
              </w:tc>
              <w:tc>
                <w:tcPr>
                  <w:tcW w:w="1840" w:type="pct"/>
                  <w:vAlign w:val="center"/>
                </w:tcPr>
                <w:p w14:paraId="48F8CD27" w14:textId="77777777" w:rsidR="00326AC4" w:rsidRPr="00A92029" w:rsidRDefault="00326AC4"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r>
                    <w:rPr>
                      <w:rFonts w:cstheme="minorHAnsi"/>
                      <w:color w:val="000000"/>
                      <w:sz w:val="20"/>
                      <w:szCs w:val="20"/>
                    </w:rPr>
                    <w:t>/</w:t>
                  </w:r>
                  <w:proofErr w:type="spellStart"/>
                  <w:r>
                    <w:rPr>
                      <w:rFonts w:cstheme="minorHAnsi"/>
                      <w:color w:val="000000"/>
                      <w:sz w:val="20"/>
                      <w:szCs w:val="20"/>
                    </w:rPr>
                    <w:t>DnDeemed</w:t>
                  </w:r>
                  <w:proofErr w:type="spellEnd"/>
                </w:p>
              </w:tc>
            </w:tr>
            <w:tr w:rsidR="00326AC4" w:rsidRPr="00A92029" w14:paraId="4FEF17AA" w14:textId="77777777" w:rsidTr="00326AC4">
              <w:trPr>
                <w:jc w:val="center"/>
              </w:trPr>
              <w:tc>
                <w:tcPr>
                  <w:tcW w:w="1266" w:type="pct"/>
                  <w:vAlign w:val="center"/>
                </w:tcPr>
                <w:p w14:paraId="268B0B2A" w14:textId="77777777" w:rsidR="00326AC4" w:rsidRPr="00A92029" w:rsidRDefault="007543CA" w:rsidP="00523326">
                  <w:pPr>
                    <w:jc w:val="center"/>
                    <w:rPr>
                      <w:rFonts w:cstheme="minorHAnsi"/>
                      <w:sz w:val="20"/>
                      <w:szCs w:val="20"/>
                    </w:rPr>
                  </w:pPr>
                  <w:r>
                    <w:rPr>
                      <w:rFonts w:cstheme="minorHAnsi"/>
                      <w:sz w:val="20"/>
                      <w:szCs w:val="20"/>
                    </w:rPr>
                    <w:t>465947</w:t>
                  </w:r>
                </w:p>
              </w:tc>
              <w:tc>
                <w:tcPr>
                  <w:tcW w:w="946" w:type="pct"/>
                  <w:vAlign w:val="center"/>
                </w:tcPr>
                <w:p w14:paraId="3F381E07" w14:textId="77777777" w:rsidR="00326AC4" w:rsidRPr="00A92029" w:rsidRDefault="007543CA" w:rsidP="00523326">
                  <w:pPr>
                    <w:rPr>
                      <w:rFonts w:cstheme="minorHAnsi"/>
                      <w:sz w:val="20"/>
                      <w:szCs w:val="20"/>
                    </w:rPr>
                  </w:pPr>
                  <w:r w:rsidRPr="007543CA">
                    <w:rPr>
                      <w:rFonts w:cstheme="minorHAnsi"/>
                      <w:sz w:val="20"/>
                      <w:szCs w:val="20"/>
                    </w:rPr>
                    <w:t>Natural Gas W/H 40 Gal UEF (0.64)</w:t>
                  </w:r>
                </w:p>
              </w:tc>
              <w:tc>
                <w:tcPr>
                  <w:tcW w:w="948" w:type="pct"/>
                  <w:vAlign w:val="center"/>
                </w:tcPr>
                <w:p w14:paraId="66E4CF3A" w14:textId="77777777"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RG-WtrHt-SmlStrg-Gas-Ite75kBtuh-40G-MD-0p64UEF</w:t>
                  </w:r>
                </w:p>
              </w:tc>
              <w:tc>
                <w:tcPr>
                  <w:tcW w:w="1840" w:type="pct"/>
                  <w:vAlign w:val="center"/>
                </w:tcPr>
                <w:p w14:paraId="72EED85B" w14:textId="77777777" w:rsidR="00326AC4" w:rsidRPr="00A92029" w:rsidRDefault="00932811" w:rsidP="00523326">
                  <w:pPr>
                    <w:jc w:val="center"/>
                    <w:rPr>
                      <w:rFonts w:cstheme="minorHAnsi"/>
                      <w:color w:val="000000"/>
                      <w:sz w:val="20"/>
                      <w:szCs w:val="20"/>
                    </w:rPr>
                  </w:pPr>
                  <w:proofErr w:type="spellStart"/>
                  <w:r>
                    <w:rPr>
                      <w:rFonts w:cstheme="minorHAnsi"/>
                      <w:color w:val="000000"/>
                      <w:sz w:val="20"/>
                      <w:szCs w:val="20"/>
                    </w:rPr>
                    <w:t>PreRebUp</w:t>
                  </w:r>
                  <w:proofErr w:type="spellEnd"/>
                  <w:r>
                    <w:rPr>
                      <w:rFonts w:cstheme="minorHAnsi"/>
                      <w:color w:val="000000"/>
                      <w:sz w:val="20"/>
                      <w:szCs w:val="20"/>
                    </w:rPr>
                    <w:t>/</w:t>
                  </w:r>
                  <w:proofErr w:type="spellStart"/>
                  <w:r w:rsidR="007543CA">
                    <w:rPr>
                      <w:rFonts w:cstheme="minorHAnsi"/>
                      <w:color w:val="000000"/>
                      <w:sz w:val="20"/>
                      <w:szCs w:val="20"/>
                    </w:rPr>
                    <w:t>UpDeemed</w:t>
                  </w:r>
                  <w:proofErr w:type="spellEnd"/>
                </w:p>
              </w:tc>
            </w:tr>
            <w:tr w:rsidR="00326AC4" w:rsidRPr="00A92029" w14:paraId="73BBB1E4" w14:textId="77777777" w:rsidTr="00326AC4">
              <w:trPr>
                <w:jc w:val="center"/>
              </w:trPr>
              <w:tc>
                <w:tcPr>
                  <w:tcW w:w="1266" w:type="pct"/>
                  <w:vAlign w:val="center"/>
                </w:tcPr>
                <w:p w14:paraId="226BB14C" w14:textId="77777777" w:rsidR="00326AC4" w:rsidRPr="00A92029" w:rsidRDefault="007543CA" w:rsidP="00523326">
                  <w:pPr>
                    <w:jc w:val="center"/>
                    <w:rPr>
                      <w:rFonts w:cstheme="minorHAnsi"/>
                      <w:sz w:val="20"/>
                      <w:szCs w:val="20"/>
                    </w:rPr>
                  </w:pPr>
                  <w:r>
                    <w:rPr>
                      <w:rFonts w:cstheme="minorHAnsi"/>
                      <w:sz w:val="20"/>
                      <w:szCs w:val="20"/>
                    </w:rPr>
                    <w:t>465948</w:t>
                  </w:r>
                </w:p>
              </w:tc>
              <w:tc>
                <w:tcPr>
                  <w:tcW w:w="946" w:type="pct"/>
                  <w:vAlign w:val="center"/>
                </w:tcPr>
                <w:p w14:paraId="187D709A" w14:textId="77777777" w:rsidR="00326AC4" w:rsidRPr="00A92029" w:rsidRDefault="00C12EA6" w:rsidP="00523326">
                  <w:pPr>
                    <w:rPr>
                      <w:rFonts w:cstheme="minorHAnsi"/>
                      <w:sz w:val="20"/>
                      <w:szCs w:val="20"/>
                    </w:rPr>
                  </w:pPr>
                  <w:r w:rsidRPr="00C12EA6">
                    <w:rPr>
                      <w:rFonts w:cstheme="minorHAnsi"/>
                      <w:sz w:val="20"/>
                      <w:szCs w:val="20"/>
                    </w:rPr>
                    <w:t>Natural Gas W/H 40 Gal UEF (0.68)</w:t>
                  </w:r>
                </w:p>
              </w:tc>
              <w:tc>
                <w:tcPr>
                  <w:tcW w:w="948" w:type="pct"/>
                  <w:vAlign w:val="center"/>
                </w:tcPr>
                <w:p w14:paraId="1F557C12" w14:textId="77777777"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RG-WtrHt-SmlStrg-Gas-Ite75kBtuh-40G-HI-0p68UEF</w:t>
                  </w:r>
                </w:p>
              </w:tc>
              <w:tc>
                <w:tcPr>
                  <w:tcW w:w="1840" w:type="pct"/>
                  <w:vAlign w:val="center"/>
                </w:tcPr>
                <w:p w14:paraId="2D8573E4" w14:textId="77777777" w:rsidR="00326AC4" w:rsidRPr="00A92029" w:rsidRDefault="007543CA" w:rsidP="00523326">
                  <w:pPr>
                    <w:jc w:val="center"/>
                    <w:rPr>
                      <w:rFonts w:cstheme="minorHAnsi"/>
                      <w:color w:val="000000"/>
                      <w:sz w:val="20"/>
                      <w:szCs w:val="20"/>
                    </w:rPr>
                  </w:pPr>
                  <w:proofErr w:type="spellStart"/>
                  <w:r w:rsidRPr="007543CA">
                    <w:rPr>
                      <w:rFonts w:cstheme="minorHAnsi"/>
                      <w:color w:val="000000"/>
                      <w:sz w:val="20"/>
                      <w:szCs w:val="20"/>
                    </w:rPr>
                    <w:t>PreRebUp</w:t>
                  </w:r>
                  <w:proofErr w:type="spellEnd"/>
                  <w:r w:rsidRPr="007543CA">
                    <w:rPr>
                      <w:rFonts w:cstheme="minorHAnsi"/>
                      <w:color w:val="000000"/>
                      <w:sz w:val="20"/>
                      <w:szCs w:val="20"/>
                    </w:rPr>
                    <w:t>/</w:t>
                  </w:r>
                  <w:proofErr w:type="spellStart"/>
                  <w:r w:rsidRPr="007543CA">
                    <w:rPr>
                      <w:rFonts w:cstheme="minorHAnsi"/>
                      <w:color w:val="000000"/>
                      <w:sz w:val="20"/>
                      <w:szCs w:val="20"/>
                    </w:rPr>
                    <w:t>UpDeemed</w:t>
                  </w:r>
                  <w:proofErr w:type="spellEnd"/>
                </w:p>
              </w:tc>
            </w:tr>
            <w:tr w:rsidR="007543CA" w:rsidRPr="00A92029" w14:paraId="05A72713" w14:textId="77777777" w:rsidTr="00326AC4">
              <w:trPr>
                <w:jc w:val="center"/>
              </w:trPr>
              <w:tc>
                <w:tcPr>
                  <w:tcW w:w="1266" w:type="pct"/>
                  <w:vAlign w:val="center"/>
                </w:tcPr>
                <w:p w14:paraId="02A45D49" w14:textId="77777777" w:rsidR="007543CA" w:rsidRDefault="007543CA" w:rsidP="00523326">
                  <w:pPr>
                    <w:jc w:val="center"/>
                    <w:rPr>
                      <w:rFonts w:cstheme="minorHAnsi"/>
                      <w:sz w:val="20"/>
                      <w:szCs w:val="20"/>
                    </w:rPr>
                  </w:pPr>
                  <w:r>
                    <w:rPr>
                      <w:rFonts w:cstheme="minorHAnsi"/>
                      <w:sz w:val="20"/>
                      <w:szCs w:val="20"/>
                    </w:rPr>
                    <w:t>465949</w:t>
                  </w:r>
                </w:p>
              </w:tc>
              <w:tc>
                <w:tcPr>
                  <w:tcW w:w="946" w:type="pct"/>
                  <w:vAlign w:val="center"/>
                </w:tcPr>
                <w:p w14:paraId="769B6AE5" w14:textId="77777777" w:rsidR="007543CA" w:rsidRPr="00A92029" w:rsidRDefault="00C12EA6" w:rsidP="00523326">
                  <w:pPr>
                    <w:rPr>
                      <w:rFonts w:cstheme="minorHAnsi"/>
                      <w:sz w:val="20"/>
                      <w:szCs w:val="20"/>
                    </w:rPr>
                  </w:pPr>
                  <w:r w:rsidRPr="00C12EA6">
                    <w:rPr>
                      <w:rFonts w:cstheme="minorHAnsi"/>
                      <w:sz w:val="20"/>
                      <w:szCs w:val="20"/>
                    </w:rPr>
                    <w:t>Natural Gas W/H 50 Gal UEF (0.64)</w:t>
                  </w:r>
                </w:p>
              </w:tc>
              <w:tc>
                <w:tcPr>
                  <w:tcW w:w="948" w:type="pct"/>
                  <w:vAlign w:val="center"/>
                </w:tcPr>
                <w:p w14:paraId="4360C7EF" w14:textId="77777777" w:rsidR="007543CA" w:rsidRPr="00A92029" w:rsidRDefault="00C12EA6" w:rsidP="00523326">
                  <w:pPr>
                    <w:rPr>
                      <w:rFonts w:cstheme="minorHAnsi"/>
                      <w:color w:val="000000"/>
                      <w:sz w:val="20"/>
                      <w:szCs w:val="20"/>
                    </w:rPr>
                  </w:pPr>
                  <w:r w:rsidRPr="00C12EA6">
                    <w:rPr>
                      <w:rFonts w:cstheme="minorHAnsi"/>
                      <w:color w:val="000000"/>
                      <w:sz w:val="20"/>
                      <w:szCs w:val="20"/>
                    </w:rPr>
                    <w:t>RG-WtrHt-SmlStrg-Gas-Ite75kBtuh-50G-MD-0p64UEF</w:t>
                  </w:r>
                </w:p>
              </w:tc>
              <w:tc>
                <w:tcPr>
                  <w:tcW w:w="1840" w:type="pct"/>
                  <w:vAlign w:val="center"/>
                </w:tcPr>
                <w:p w14:paraId="72E2E63A" w14:textId="77777777" w:rsidR="007543CA" w:rsidRPr="007543CA" w:rsidRDefault="00C12EA6" w:rsidP="00523326">
                  <w:pPr>
                    <w:jc w:val="center"/>
                    <w:rPr>
                      <w:rFonts w:cstheme="minorHAnsi"/>
                      <w:color w:val="000000"/>
                      <w:sz w:val="20"/>
                      <w:szCs w:val="20"/>
                    </w:rPr>
                  </w:pPr>
                  <w:proofErr w:type="spellStart"/>
                  <w:r>
                    <w:rPr>
                      <w:rFonts w:cstheme="minorHAnsi"/>
                      <w:color w:val="000000"/>
                      <w:sz w:val="20"/>
                      <w:szCs w:val="20"/>
                    </w:rPr>
                    <w:t>PreRebUp</w:t>
                  </w:r>
                  <w:proofErr w:type="spellEnd"/>
                  <w:r>
                    <w:rPr>
                      <w:rFonts w:cstheme="minorHAnsi"/>
                      <w:color w:val="000000"/>
                      <w:sz w:val="20"/>
                      <w:szCs w:val="20"/>
                    </w:rPr>
                    <w:t>/</w:t>
                  </w:r>
                  <w:proofErr w:type="spellStart"/>
                  <w:r>
                    <w:rPr>
                      <w:rFonts w:cstheme="minorHAnsi"/>
                      <w:color w:val="000000"/>
                      <w:sz w:val="20"/>
                      <w:szCs w:val="20"/>
                    </w:rPr>
                    <w:t>UpDeemed</w:t>
                  </w:r>
                  <w:proofErr w:type="spellEnd"/>
                </w:p>
              </w:tc>
            </w:tr>
            <w:tr w:rsidR="007543CA" w:rsidRPr="00A92029" w14:paraId="36C359D0" w14:textId="77777777" w:rsidTr="00326AC4">
              <w:trPr>
                <w:jc w:val="center"/>
              </w:trPr>
              <w:tc>
                <w:tcPr>
                  <w:tcW w:w="1266" w:type="pct"/>
                  <w:vAlign w:val="center"/>
                </w:tcPr>
                <w:p w14:paraId="7892BBDF" w14:textId="77777777" w:rsidR="007543CA" w:rsidRDefault="007543CA" w:rsidP="00523326">
                  <w:pPr>
                    <w:jc w:val="center"/>
                    <w:rPr>
                      <w:rFonts w:cstheme="minorHAnsi"/>
                      <w:sz w:val="20"/>
                      <w:szCs w:val="20"/>
                    </w:rPr>
                  </w:pPr>
                  <w:r>
                    <w:rPr>
                      <w:rFonts w:cstheme="minorHAnsi"/>
                      <w:sz w:val="20"/>
                      <w:szCs w:val="20"/>
                    </w:rPr>
                    <w:t>465950</w:t>
                  </w:r>
                </w:p>
              </w:tc>
              <w:tc>
                <w:tcPr>
                  <w:tcW w:w="946" w:type="pct"/>
                  <w:vAlign w:val="center"/>
                </w:tcPr>
                <w:p w14:paraId="303E4E27" w14:textId="77777777" w:rsidR="007543CA" w:rsidRPr="00A92029" w:rsidRDefault="00C12EA6" w:rsidP="00523326">
                  <w:pPr>
                    <w:rPr>
                      <w:rFonts w:cstheme="minorHAnsi"/>
                      <w:sz w:val="20"/>
                      <w:szCs w:val="20"/>
                    </w:rPr>
                  </w:pPr>
                  <w:r w:rsidRPr="00C12EA6">
                    <w:rPr>
                      <w:rFonts w:cstheme="minorHAnsi"/>
                      <w:sz w:val="20"/>
                      <w:szCs w:val="20"/>
                    </w:rPr>
                    <w:t xml:space="preserve">Natural Gas W/H </w:t>
                  </w:r>
                  <w:r w:rsidRPr="00C12EA6">
                    <w:rPr>
                      <w:rFonts w:cstheme="minorHAnsi"/>
                      <w:sz w:val="20"/>
                      <w:szCs w:val="20"/>
                    </w:rPr>
                    <w:lastRenderedPageBreak/>
                    <w:t>50 Gal UEF (0.68)</w:t>
                  </w:r>
                </w:p>
              </w:tc>
              <w:tc>
                <w:tcPr>
                  <w:tcW w:w="948" w:type="pct"/>
                  <w:vAlign w:val="center"/>
                </w:tcPr>
                <w:p w14:paraId="6148F69F" w14:textId="77777777" w:rsidR="007543CA" w:rsidRPr="00A92029" w:rsidRDefault="00C12EA6" w:rsidP="00523326">
                  <w:pPr>
                    <w:rPr>
                      <w:rFonts w:cstheme="minorHAnsi"/>
                      <w:color w:val="000000"/>
                      <w:sz w:val="20"/>
                      <w:szCs w:val="20"/>
                    </w:rPr>
                  </w:pPr>
                  <w:r w:rsidRPr="00C12EA6">
                    <w:rPr>
                      <w:rFonts w:cstheme="minorHAnsi"/>
                      <w:color w:val="000000"/>
                      <w:sz w:val="20"/>
                      <w:szCs w:val="20"/>
                    </w:rPr>
                    <w:lastRenderedPageBreak/>
                    <w:t>RG-WtrHt-SmlStrg-Gas-</w:t>
                  </w:r>
                  <w:r w:rsidRPr="00C12EA6">
                    <w:rPr>
                      <w:rFonts w:cstheme="minorHAnsi"/>
                      <w:color w:val="000000"/>
                      <w:sz w:val="20"/>
                      <w:szCs w:val="20"/>
                    </w:rPr>
                    <w:lastRenderedPageBreak/>
                    <w:t>Ite75kBtuh-50G-HI-0p68UEF</w:t>
                  </w:r>
                </w:p>
              </w:tc>
              <w:tc>
                <w:tcPr>
                  <w:tcW w:w="1840" w:type="pct"/>
                  <w:vAlign w:val="center"/>
                </w:tcPr>
                <w:p w14:paraId="472A2467" w14:textId="77777777" w:rsidR="007543CA" w:rsidRPr="007543CA" w:rsidRDefault="00C12EA6" w:rsidP="00523326">
                  <w:pPr>
                    <w:jc w:val="center"/>
                    <w:rPr>
                      <w:rFonts w:cstheme="minorHAnsi"/>
                      <w:color w:val="000000"/>
                      <w:sz w:val="20"/>
                      <w:szCs w:val="20"/>
                    </w:rPr>
                  </w:pPr>
                  <w:proofErr w:type="spellStart"/>
                  <w:r>
                    <w:rPr>
                      <w:rFonts w:cstheme="minorHAnsi"/>
                      <w:color w:val="000000"/>
                      <w:sz w:val="20"/>
                      <w:szCs w:val="20"/>
                    </w:rPr>
                    <w:lastRenderedPageBreak/>
                    <w:t>PreRebUp</w:t>
                  </w:r>
                  <w:proofErr w:type="spellEnd"/>
                  <w:r>
                    <w:rPr>
                      <w:rFonts w:cstheme="minorHAnsi"/>
                      <w:color w:val="000000"/>
                      <w:sz w:val="20"/>
                      <w:szCs w:val="20"/>
                    </w:rPr>
                    <w:t>/</w:t>
                  </w:r>
                  <w:proofErr w:type="spellStart"/>
                  <w:r>
                    <w:rPr>
                      <w:rFonts w:cstheme="minorHAnsi"/>
                      <w:color w:val="000000"/>
                      <w:sz w:val="20"/>
                      <w:szCs w:val="20"/>
                    </w:rPr>
                    <w:t>UpDeemed</w:t>
                  </w:r>
                  <w:proofErr w:type="spellEnd"/>
                </w:p>
              </w:tc>
            </w:tr>
          </w:tbl>
          <w:p w14:paraId="7F594498" w14:textId="77777777" w:rsidR="00523326" w:rsidRPr="00A92029" w:rsidRDefault="00523326" w:rsidP="00523326">
            <w:pPr>
              <w:rPr>
                <w:rFonts w:cstheme="minorHAnsi"/>
                <w:sz w:val="20"/>
                <w:szCs w:val="20"/>
              </w:rPr>
            </w:pPr>
          </w:p>
        </w:tc>
      </w:tr>
      <w:tr w:rsidR="00523326" w:rsidRPr="00A92029" w14:paraId="5E8DF6B9" w14:textId="77777777" w:rsidTr="00FB6ADB">
        <w:trPr>
          <w:cantSplit/>
        </w:trPr>
        <w:tc>
          <w:tcPr>
            <w:tcW w:w="2401" w:type="dxa"/>
          </w:tcPr>
          <w:p w14:paraId="668934A3" w14:textId="77777777" w:rsidR="00523326" w:rsidRPr="00A92029" w:rsidRDefault="00523326" w:rsidP="00523326">
            <w:pPr>
              <w:jc w:val="right"/>
              <w:rPr>
                <w:rFonts w:cstheme="minorHAnsi"/>
                <w:sz w:val="20"/>
                <w:szCs w:val="20"/>
              </w:rPr>
            </w:pPr>
            <w:r w:rsidRPr="00A92029">
              <w:rPr>
                <w:rFonts w:cstheme="minorHAnsi"/>
                <w:sz w:val="20"/>
                <w:szCs w:val="20"/>
              </w:rPr>
              <w:lastRenderedPageBreak/>
              <w:t>Code for All Measures</w:t>
            </w:r>
          </w:p>
        </w:tc>
        <w:tc>
          <w:tcPr>
            <w:tcW w:w="6949" w:type="dxa"/>
          </w:tcPr>
          <w:p w14:paraId="38B52C7A" w14:textId="77777777" w:rsidR="00672876" w:rsidRPr="00672876" w:rsidRDefault="00672876" w:rsidP="00672876">
            <w:pPr>
              <w:rPr>
                <w:rFonts w:asciiTheme="minorHAnsi" w:hAnsiTheme="minorHAnsi" w:cstheme="minorHAnsi"/>
                <w:sz w:val="20"/>
                <w:szCs w:val="20"/>
              </w:rPr>
            </w:pPr>
            <w:r w:rsidRPr="00672876">
              <w:rPr>
                <w:rFonts w:asciiTheme="minorHAnsi" w:hAnsiTheme="minorHAnsi" w:cstheme="minorHAnsi"/>
                <w:sz w:val="20"/>
                <w:szCs w:val="20"/>
              </w:rPr>
              <w:t>Please reference WPSCGREWH180207A-Rev00Section 1.4.2 Codes and Standards Analysis</w:t>
            </w:r>
          </w:p>
          <w:p w14:paraId="1978274E" w14:textId="77777777" w:rsidR="00523326" w:rsidRPr="00A92029" w:rsidRDefault="00523326" w:rsidP="00523326">
            <w:pPr>
              <w:rPr>
                <w:rFonts w:cstheme="minorHAnsi"/>
                <w:sz w:val="20"/>
                <w:szCs w:val="20"/>
              </w:rPr>
            </w:pPr>
          </w:p>
          <w:p w14:paraId="31888CCA" w14:textId="77777777" w:rsidR="00523326" w:rsidRPr="00A92029" w:rsidRDefault="00523326" w:rsidP="00672876">
            <w:pPr>
              <w:keepNext/>
              <w:spacing w:before="240" w:after="60"/>
              <w:outlineLvl w:val="2"/>
              <w:rPr>
                <w:rFonts w:asciiTheme="minorHAnsi" w:hAnsiTheme="minorHAnsi" w:cstheme="minorHAnsi"/>
                <w:i/>
                <w:sz w:val="20"/>
                <w:szCs w:val="20"/>
              </w:rPr>
            </w:pPr>
          </w:p>
        </w:tc>
      </w:tr>
      <w:tr w:rsidR="00672876" w:rsidRPr="00A92029" w14:paraId="114FDF8D" w14:textId="77777777" w:rsidTr="00FB6ADB">
        <w:trPr>
          <w:cantSplit/>
        </w:trPr>
        <w:tc>
          <w:tcPr>
            <w:tcW w:w="2401" w:type="dxa"/>
          </w:tcPr>
          <w:p w14:paraId="073F1324" w14:textId="77777777" w:rsidR="00672876" w:rsidRPr="00A92029" w:rsidRDefault="00672876" w:rsidP="00523326">
            <w:pPr>
              <w:jc w:val="right"/>
              <w:rPr>
                <w:rFonts w:cstheme="minorHAnsi"/>
                <w:b/>
                <w:sz w:val="20"/>
                <w:szCs w:val="20"/>
              </w:rPr>
            </w:pPr>
            <w:r w:rsidRPr="00A92029">
              <w:rPr>
                <w:rFonts w:cstheme="minorHAnsi"/>
                <w:b/>
                <w:sz w:val="20"/>
                <w:szCs w:val="20"/>
              </w:rPr>
              <w:t>1.3 Installation Type and Delivery Mechanisms</w:t>
            </w:r>
          </w:p>
        </w:tc>
        <w:tc>
          <w:tcPr>
            <w:tcW w:w="6949" w:type="dxa"/>
          </w:tcPr>
          <w:p w14:paraId="19CE1031" w14:textId="77777777" w:rsidR="00672876" w:rsidRPr="00A92029" w:rsidRDefault="00672876" w:rsidP="00523326">
            <w:pPr>
              <w:ind w:left="720"/>
              <w:rPr>
                <w:rFonts w:cstheme="minorHAnsi"/>
                <w:sz w:val="20"/>
                <w:szCs w:val="20"/>
              </w:rPr>
            </w:pPr>
          </w:p>
        </w:tc>
      </w:tr>
      <w:tr w:rsidR="00672876" w:rsidRPr="00A92029" w14:paraId="395BDF46" w14:textId="77777777" w:rsidTr="00E94634">
        <w:trPr>
          <w:cantSplit/>
          <w:trHeight w:val="629"/>
        </w:trPr>
        <w:tc>
          <w:tcPr>
            <w:tcW w:w="2401" w:type="dxa"/>
            <w:vAlign w:val="center"/>
          </w:tcPr>
          <w:p w14:paraId="403FDD18" w14:textId="77777777" w:rsidR="00672876" w:rsidRPr="00A92029" w:rsidRDefault="00672876" w:rsidP="00523326">
            <w:pPr>
              <w:rPr>
                <w:rFonts w:cstheme="minorHAnsi"/>
                <w:b/>
                <w:sz w:val="20"/>
                <w:szCs w:val="20"/>
              </w:rPr>
            </w:pPr>
            <w:r w:rsidRPr="00A92029">
              <w:rPr>
                <w:rFonts w:cstheme="minorHAnsi"/>
                <w:sz w:val="20"/>
                <w:szCs w:val="20"/>
              </w:rPr>
              <w:t>Installation Type</w:t>
            </w:r>
          </w:p>
        </w:tc>
        <w:tc>
          <w:tcPr>
            <w:tcW w:w="6949" w:type="dxa"/>
          </w:tcPr>
          <w:p w14:paraId="6D11B663" w14:textId="77777777" w:rsidR="00672876" w:rsidRDefault="00672876" w:rsidP="00523326">
            <w:pPr>
              <w:rPr>
                <w:rFonts w:cstheme="minorHAnsi"/>
                <w:sz w:val="20"/>
                <w:szCs w:val="20"/>
              </w:rPr>
            </w:pPr>
            <w:r w:rsidRPr="00A92029">
              <w:rPr>
                <w:rFonts w:cstheme="minorHAnsi"/>
                <w:sz w:val="20"/>
                <w:szCs w:val="20"/>
              </w:rPr>
              <w:t>Replace on burnout (ROB)</w:t>
            </w:r>
            <w:r>
              <w:rPr>
                <w:rFonts w:cstheme="minorHAnsi"/>
                <w:sz w:val="20"/>
                <w:szCs w:val="20"/>
              </w:rPr>
              <w:t>:  1/1/18 – 12/31/18</w:t>
            </w:r>
          </w:p>
          <w:p w14:paraId="5B8ED78B" w14:textId="77777777" w:rsidR="00672876" w:rsidRDefault="00672876" w:rsidP="00523326">
            <w:pPr>
              <w:rPr>
                <w:rFonts w:cstheme="minorHAnsi"/>
                <w:sz w:val="20"/>
                <w:szCs w:val="20"/>
              </w:rPr>
            </w:pPr>
            <w:r>
              <w:rPr>
                <w:rFonts w:cstheme="minorHAnsi"/>
                <w:sz w:val="20"/>
                <w:szCs w:val="20"/>
              </w:rPr>
              <w:t>Normal Replacement (NR):  1/1/19 – no expiry yet</w:t>
            </w:r>
          </w:p>
          <w:p w14:paraId="11EFD8C6" w14:textId="77777777" w:rsidR="00672876" w:rsidRPr="00A92029" w:rsidRDefault="00672876" w:rsidP="00523326">
            <w:pPr>
              <w:rPr>
                <w:rFonts w:cstheme="minorHAnsi"/>
                <w:sz w:val="20"/>
                <w:szCs w:val="20"/>
              </w:rPr>
            </w:pPr>
            <w:r>
              <w:rPr>
                <w:rFonts w:cstheme="minorHAnsi"/>
                <w:sz w:val="20"/>
                <w:szCs w:val="20"/>
              </w:rPr>
              <w:t xml:space="preserve"> </w:t>
            </w:r>
          </w:p>
        </w:tc>
      </w:tr>
      <w:tr w:rsidR="00672876" w:rsidRPr="00A92029" w14:paraId="295A619F" w14:textId="77777777" w:rsidTr="00FB6ADB">
        <w:trPr>
          <w:cantSplit/>
        </w:trPr>
        <w:tc>
          <w:tcPr>
            <w:tcW w:w="2401" w:type="dxa"/>
            <w:vAlign w:val="center"/>
          </w:tcPr>
          <w:p w14:paraId="149154E0" w14:textId="77777777" w:rsidR="00672876" w:rsidRPr="00A92029" w:rsidRDefault="00672876" w:rsidP="00523326">
            <w:pPr>
              <w:jc w:val="right"/>
              <w:rPr>
                <w:rFonts w:cstheme="minorHAnsi"/>
                <w:sz w:val="20"/>
                <w:szCs w:val="20"/>
              </w:rPr>
            </w:pPr>
            <w:r w:rsidRPr="00A92029">
              <w:rPr>
                <w:rFonts w:cstheme="minorHAnsi"/>
                <w:sz w:val="20"/>
                <w:szCs w:val="20"/>
              </w:rPr>
              <w:t>Delivery Mechanisms</w:t>
            </w:r>
          </w:p>
        </w:tc>
        <w:tc>
          <w:tcPr>
            <w:tcW w:w="6949" w:type="dxa"/>
          </w:tcPr>
          <w:p w14:paraId="2671E40D" w14:textId="77777777" w:rsidR="00672876" w:rsidRDefault="00672876" w:rsidP="00EE1FFD">
            <w:pPr>
              <w:pStyle w:val="ListParagraph"/>
              <w:numPr>
                <w:ilvl w:val="0"/>
                <w:numId w:val="20"/>
              </w:numPr>
              <w:rPr>
                <w:rFonts w:cstheme="minorHAnsi"/>
                <w:sz w:val="20"/>
                <w:szCs w:val="20"/>
              </w:rPr>
            </w:pPr>
            <w:proofErr w:type="spellStart"/>
            <w:r>
              <w:rPr>
                <w:rFonts w:cstheme="minorHAnsi"/>
                <w:sz w:val="20"/>
                <w:szCs w:val="20"/>
              </w:rPr>
              <w:t>PreRebDown</w:t>
            </w:r>
            <w:proofErr w:type="spellEnd"/>
            <w:r>
              <w:rPr>
                <w:rFonts w:cstheme="minorHAnsi"/>
                <w:sz w:val="20"/>
                <w:szCs w:val="20"/>
              </w:rPr>
              <w:t>:  1/1/18 – 12/31/18</w:t>
            </w:r>
          </w:p>
          <w:p w14:paraId="7A4695EB" w14:textId="77777777" w:rsidR="00672876" w:rsidRDefault="007D5FAE" w:rsidP="00EE1FFD">
            <w:pPr>
              <w:pStyle w:val="ListParagraph"/>
              <w:numPr>
                <w:ilvl w:val="0"/>
                <w:numId w:val="20"/>
              </w:numPr>
              <w:rPr>
                <w:rFonts w:cstheme="minorHAnsi"/>
                <w:sz w:val="20"/>
                <w:szCs w:val="20"/>
              </w:rPr>
            </w:pPr>
            <w:proofErr w:type="spellStart"/>
            <w:r>
              <w:rPr>
                <w:rFonts w:cstheme="minorHAnsi"/>
                <w:sz w:val="20"/>
                <w:szCs w:val="20"/>
              </w:rPr>
              <w:t>DnDeemed</w:t>
            </w:r>
            <w:proofErr w:type="spellEnd"/>
            <w:r>
              <w:rPr>
                <w:rFonts w:cstheme="minorHAnsi"/>
                <w:sz w:val="20"/>
                <w:szCs w:val="20"/>
              </w:rPr>
              <w:t>:  1/1/19 – no expiry yet</w:t>
            </w:r>
          </w:p>
          <w:p w14:paraId="00F2585A" w14:textId="77777777" w:rsidR="007D5FAE" w:rsidRDefault="007D5FAE" w:rsidP="00EE1FFD">
            <w:pPr>
              <w:pStyle w:val="ListParagraph"/>
              <w:numPr>
                <w:ilvl w:val="0"/>
                <w:numId w:val="20"/>
              </w:numPr>
              <w:rPr>
                <w:rFonts w:cstheme="minorHAnsi"/>
                <w:sz w:val="20"/>
                <w:szCs w:val="20"/>
              </w:rPr>
            </w:pPr>
            <w:proofErr w:type="spellStart"/>
            <w:r>
              <w:rPr>
                <w:rFonts w:cstheme="minorHAnsi"/>
                <w:sz w:val="20"/>
                <w:szCs w:val="20"/>
              </w:rPr>
              <w:t>PreRebUp</w:t>
            </w:r>
            <w:proofErr w:type="spellEnd"/>
            <w:r>
              <w:rPr>
                <w:rFonts w:cstheme="minorHAnsi"/>
                <w:sz w:val="20"/>
                <w:szCs w:val="20"/>
              </w:rPr>
              <w:t>:  1/1/18 – 12/31/18</w:t>
            </w:r>
          </w:p>
          <w:p w14:paraId="6C343176" w14:textId="77777777" w:rsidR="007D5FAE" w:rsidRPr="00A92029" w:rsidRDefault="007D5FAE" w:rsidP="00EE1FFD">
            <w:pPr>
              <w:pStyle w:val="ListParagraph"/>
              <w:numPr>
                <w:ilvl w:val="0"/>
                <w:numId w:val="20"/>
              </w:numPr>
              <w:rPr>
                <w:rFonts w:cstheme="minorHAnsi"/>
                <w:sz w:val="20"/>
                <w:szCs w:val="20"/>
              </w:rPr>
            </w:pPr>
            <w:proofErr w:type="spellStart"/>
            <w:r>
              <w:rPr>
                <w:rFonts w:cstheme="minorHAnsi"/>
                <w:sz w:val="20"/>
                <w:szCs w:val="20"/>
              </w:rPr>
              <w:t>UpDeemed</w:t>
            </w:r>
            <w:proofErr w:type="spellEnd"/>
            <w:r>
              <w:rPr>
                <w:rFonts w:cstheme="minorHAnsi"/>
                <w:sz w:val="20"/>
                <w:szCs w:val="20"/>
              </w:rPr>
              <w:t>:  1/1/19 – no expiry yet</w:t>
            </w:r>
          </w:p>
        </w:tc>
      </w:tr>
      <w:tr w:rsidR="00672876" w:rsidRPr="00A92029" w14:paraId="3AD6D38A" w14:textId="77777777" w:rsidTr="00E94634">
        <w:trPr>
          <w:cantSplit/>
        </w:trPr>
        <w:tc>
          <w:tcPr>
            <w:tcW w:w="2401" w:type="dxa"/>
          </w:tcPr>
          <w:p w14:paraId="0B5FE968" w14:textId="77777777" w:rsidR="00672876" w:rsidRPr="00A92029" w:rsidRDefault="00672876" w:rsidP="00523326">
            <w:pPr>
              <w:jc w:val="right"/>
              <w:rPr>
                <w:rFonts w:cstheme="minorHAnsi"/>
                <w:sz w:val="20"/>
                <w:szCs w:val="20"/>
              </w:rPr>
            </w:pPr>
            <w:r w:rsidRPr="00A92029">
              <w:rPr>
                <w:rFonts w:cstheme="minorHAnsi"/>
                <w:b/>
                <w:sz w:val="20"/>
                <w:szCs w:val="20"/>
              </w:rPr>
              <w:t>1.4.1 DEER Data</w:t>
            </w:r>
          </w:p>
        </w:tc>
        <w:tc>
          <w:tcPr>
            <w:tcW w:w="6949" w:type="dxa"/>
          </w:tcPr>
          <w:p w14:paraId="7989E9AF" w14:textId="77777777" w:rsidR="00672876" w:rsidRPr="00A92029" w:rsidRDefault="00672876" w:rsidP="007D5FAE">
            <w:pPr>
              <w:pStyle w:val="ListParagraph"/>
              <w:ind w:left="360"/>
              <w:rPr>
                <w:rFonts w:cstheme="minorHAnsi"/>
                <w:sz w:val="20"/>
                <w:szCs w:val="20"/>
              </w:rPr>
            </w:pPr>
          </w:p>
        </w:tc>
      </w:tr>
      <w:tr w:rsidR="00672876" w:rsidRPr="00A92029" w14:paraId="5C7E473A" w14:textId="77777777" w:rsidTr="00E94634">
        <w:trPr>
          <w:cantSplit/>
        </w:trPr>
        <w:tc>
          <w:tcPr>
            <w:tcW w:w="2401" w:type="dxa"/>
            <w:vAlign w:val="center"/>
          </w:tcPr>
          <w:p w14:paraId="5E7E1D70" w14:textId="77777777" w:rsidR="00672876" w:rsidRPr="00A92029" w:rsidRDefault="00672876" w:rsidP="00523326">
            <w:pPr>
              <w:rPr>
                <w:rFonts w:cstheme="minorHAnsi"/>
                <w:b/>
                <w:sz w:val="20"/>
                <w:szCs w:val="20"/>
              </w:rPr>
            </w:pPr>
            <w:r w:rsidRPr="00A92029">
              <w:rPr>
                <w:rFonts w:cstheme="minorHAnsi"/>
                <w:sz w:val="20"/>
                <w:szCs w:val="20"/>
              </w:rPr>
              <w:t>Net-to-Gross Ratio</w:t>
            </w:r>
          </w:p>
        </w:tc>
        <w:tc>
          <w:tcPr>
            <w:tcW w:w="6949" w:type="dxa"/>
          </w:tcPr>
          <w:tbl>
            <w:tblPr>
              <w:tblStyle w:val="TableGrid"/>
              <w:tblW w:w="5000" w:type="pct"/>
              <w:tblLook w:val="04A0" w:firstRow="1" w:lastRow="0" w:firstColumn="1" w:lastColumn="0" w:noHBand="0" w:noVBand="1"/>
            </w:tblPr>
            <w:tblGrid>
              <w:gridCol w:w="1041"/>
              <w:gridCol w:w="1367"/>
              <w:gridCol w:w="808"/>
              <w:gridCol w:w="1060"/>
              <w:gridCol w:w="1283"/>
              <w:gridCol w:w="1164"/>
            </w:tblGrid>
            <w:tr w:rsidR="004C3072" w:rsidRPr="00A92029" w14:paraId="4BF4CEE6" w14:textId="77777777" w:rsidTr="005F1D5A">
              <w:tc>
                <w:tcPr>
                  <w:tcW w:w="774" w:type="pct"/>
                </w:tcPr>
                <w:p w14:paraId="273C3665" w14:textId="77777777" w:rsidR="004C3072" w:rsidRPr="00A92029" w:rsidRDefault="004C3072" w:rsidP="004C3072">
                  <w:pPr>
                    <w:tabs>
                      <w:tab w:val="right" w:pos="6732"/>
                    </w:tabs>
                    <w:rPr>
                      <w:rFonts w:cstheme="minorHAnsi"/>
                      <w:b/>
                      <w:sz w:val="20"/>
                      <w:szCs w:val="20"/>
                    </w:rPr>
                  </w:pPr>
                  <w:r>
                    <w:rPr>
                      <w:rFonts w:cstheme="minorHAnsi"/>
                      <w:b/>
                      <w:sz w:val="20"/>
                      <w:szCs w:val="20"/>
                    </w:rPr>
                    <w:t>NTGR ID</w:t>
                  </w:r>
                </w:p>
              </w:tc>
              <w:tc>
                <w:tcPr>
                  <w:tcW w:w="1017" w:type="pct"/>
                </w:tcPr>
                <w:p w14:paraId="4BFF78F6" w14:textId="77777777" w:rsidR="004C3072" w:rsidRPr="00A92029" w:rsidRDefault="004C3072" w:rsidP="004C3072">
                  <w:pPr>
                    <w:tabs>
                      <w:tab w:val="right" w:pos="6732"/>
                    </w:tabs>
                    <w:rPr>
                      <w:rFonts w:cstheme="minorHAnsi"/>
                      <w:b/>
                      <w:sz w:val="20"/>
                      <w:szCs w:val="20"/>
                    </w:rPr>
                  </w:pPr>
                  <w:r w:rsidRPr="00A92029">
                    <w:rPr>
                      <w:rFonts w:cstheme="minorHAnsi"/>
                      <w:b/>
                      <w:sz w:val="20"/>
                      <w:szCs w:val="20"/>
                    </w:rPr>
                    <w:t>Description</w:t>
                  </w:r>
                </w:p>
              </w:tc>
              <w:tc>
                <w:tcPr>
                  <w:tcW w:w="601" w:type="pct"/>
                </w:tcPr>
                <w:p w14:paraId="22D05F05" w14:textId="77777777" w:rsidR="004C3072" w:rsidRPr="00A92029" w:rsidRDefault="004C3072" w:rsidP="004C3072">
                  <w:pPr>
                    <w:tabs>
                      <w:tab w:val="right" w:pos="6732"/>
                    </w:tabs>
                    <w:rPr>
                      <w:rFonts w:cstheme="minorHAnsi"/>
                      <w:b/>
                      <w:sz w:val="20"/>
                      <w:szCs w:val="20"/>
                    </w:rPr>
                  </w:pPr>
                  <w:r w:rsidRPr="00A92029">
                    <w:rPr>
                      <w:rFonts w:cstheme="minorHAnsi"/>
                      <w:b/>
                      <w:sz w:val="20"/>
                      <w:szCs w:val="20"/>
                    </w:rPr>
                    <w:t>Sector</w:t>
                  </w:r>
                </w:p>
              </w:tc>
              <w:tc>
                <w:tcPr>
                  <w:tcW w:w="788" w:type="pct"/>
                </w:tcPr>
                <w:p w14:paraId="2ED9FAA4" w14:textId="77777777" w:rsidR="004C3072" w:rsidRPr="00A92029" w:rsidRDefault="004C3072" w:rsidP="004C3072">
                  <w:pPr>
                    <w:tabs>
                      <w:tab w:val="right" w:pos="6732"/>
                    </w:tabs>
                    <w:rPr>
                      <w:rFonts w:cstheme="minorHAnsi"/>
                      <w:b/>
                      <w:sz w:val="20"/>
                      <w:szCs w:val="20"/>
                    </w:rPr>
                  </w:pPr>
                  <w:proofErr w:type="spellStart"/>
                  <w:r w:rsidRPr="00A92029">
                    <w:rPr>
                      <w:rFonts w:cstheme="minorHAnsi"/>
                      <w:b/>
                      <w:sz w:val="20"/>
                      <w:szCs w:val="20"/>
                    </w:rPr>
                    <w:t>BldgType</w:t>
                  </w:r>
                  <w:proofErr w:type="spellEnd"/>
                </w:p>
              </w:tc>
              <w:tc>
                <w:tcPr>
                  <w:tcW w:w="954" w:type="pct"/>
                </w:tcPr>
                <w:p w14:paraId="7B71256A" w14:textId="77777777" w:rsidR="004C3072" w:rsidRPr="00A92029" w:rsidRDefault="004C3072" w:rsidP="004C3072">
                  <w:pPr>
                    <w:tabs>
                      <w:tab w:val="right" w:pos="6732"/>
                    </w:tabs>
                    <w:rPr>
                      <w:rFonts w:cstheme="minorHAnsi"/>
                      <w:b/>
                      <w:sz w:val="20"/>
                      <w:szCs w:val="20"/>
                    </w:rPr>
                  </w:pPr>
                  <w:r>
                    <w:rPr>
                      <w:rFonts w:cstheme="minorHAnsi"/>
                      <w:b/>
                      <w:sz w:val="20"/>
                      <w:szCs w:val="20"/>
                    </w:rPr>
                    <w:t>Measure Delivery</w:t>
                  </w:r>
                </w:p>
              </w:tc>
              <w:tc>
                <w:tcPr>
                  <w:tcW w:w="866" w:type="pct"/>
                </w:tcPr>
                <w:p w14:paraId="3EB54A6B" w14:textId="77777777" w:rsidR="004C3072" w:rsidRPr="00A92029" w:rsidRDefault="004C3072" w:rsidP="004C3072">
                  <w:pPr>
                    <w:tabs>
                      <w:tab w:val="right" w:pos="6732"/>
                    </w:tabs>
                    <w:rPr>
                      <w:rFonts w:cstheme="minorHAnsi"/>
                      <w:b/>
                      <w:sz w:val="20"/>
                      <w:szCs w:val="20"/>
                    </w:rPr>
                  </w:pPr>
                  <w:r>
                    <w:rPr>
                      <w:rFonts w:cstheme="minorHAnsi"/>
                      <w:b/>
                      <w:sz w:val="20"/>
                      <w:szCs w:val="20"/>
                    </w:rPr>
                    <w:t>NTGR</w:t>
                  </w:r>
                </w:p>
              </w:tc>
            </w:tr>
            <w:tr w:rsidR="004C3072" w:rsidRPr="00A92029" w14:paraId="6D52C1C4" w14:textId="77777777" w:rsidTr="005F1D5A">
              <w:tc>
                <w:tcPr>
                  <w:tcW w:w="774" w:type="pct"/>
                </w:tcPr>
                <w:p w14:paraId="09B23A34" w14:textId="77777777" w:rsidR="004C3072" w:rsidRPr="00A92029" w:rsidRDefault="004C3072" w:rsidP="004C3072">
                  <w:pPr>
                    <w:tabs>
                      <w:tab w:val="right" w:pos="6732"/>
                    </w:tabs>
                    <w:rPr>
                      <w:rFonts w:cstheme="minorHAnsi"/>
                      <w:sz w:val="20"/>
                      <w:szCs w:val="20"/>
                    </w:rPr>
                  </w:pPr>
                  <w:r>
                    <w:rPr>
                      <w:rFonts w:cstheme="minorHAnsi"/>
                      <w:sz w:val="20"/>
                      <w:szCs w:val="20"/>
                    </w:rPr>
                    <w:t>Res-Default&gt;2</w:t>
                  </w:r>
                </w:p>
              </w:tc>
              <w:tc>
                <w:tcPr>
                  <w:tcW w:w="1017" w:type="pct"/>
                </w:tcPr>
                <w:p w14:paraId="156F9EE8" w14:textId="77777777" w:rsidR="004C3072" w:rsidRPr="00A92029" w:rsidRDefault="004C3072" w:rsidP="004C3072">
                  <w:pPr>
                    <w:tabs>
                      <w:tab w:val="right" w:pos="6732"/>
                    </w:tabs>
                    <w:rPr>
                      <w:rFonts w:cstheme="minorHAnsi"/>
                      <w:sz w:val="20"/>
                      <w:szCs w:val="20"/>
                    </w:rPr>
                  </w:pPr>
                  <w:r w:rsidRPr="004C3072">
                    <w:rPr>
                      <w:rFonts w:cstheme="minorHAnsi"/>
                      <w:sz w:val="20"/>
                      <w:szCs w:val="20"/>
                    </w:rPr>
                    <w:t>All other EEM with no evaluated NTGR; existing EEM with same delivery mechanism for more than 2 years</w:t>
                  </w:r>
                </w:p>
              </w:tc>
              <w:tc>
                <w:tcPr>
                  <w:tcW w:w="601" w:type="pct"/>
                </w:tcPr>
                <w:p w14:paraId="762FDEBA" w14:textId="77777777" w:rsidR="004C3072" w:rsidRPr="00A92029" w:rsidRDefault="004C3072" w:rsidP="004C3072">
                  <w:pPr>
                    <w:tabs>
                      <w:tab w:val="right" w:pos="6732"/>
                    </w:tabs>
                    <w:rPr>
                      <w:rFonts w:cstheme="minorHAnsi"/>
                      <w:sz w:val="20"/>
                      <w:szCs w:val="20"/>
                    </w:rPr>
                  </w:pPr>
                  <w:r>
                    <w:rPr>
                      <w:rFonts w:cstheme="minorHAnsi"/>
                      <w:sz w:val="20"/>
                      <w:szCs w:val="20"/>
                    </w:rPr>
                    <w:t>Res</w:t>
                  </w:r>
                </w:p>
              </w:tc>
              <w:tc>
                <w:tcPr>
                  <w:tcW w:w="788" w:type="pct"/>
                </w:tcPr>
                <w:p w14:paraId="25808B78" w14:textId="77777777" w:rsidR="004C3072" w:rsidRPr="00A92029" w:rsidRDefault="004C3072" w:rsidP="004C3072">
                  <w:pPr>
                    <w:tabs>
                      <w:tab w:val="right" w:pos="6732"/>
                    </w:tabs>
                    <w:rPr>
                      <w:rFonts w:cstheme="minorHAnsi"/>
                      <w:sz w:val="20"/>
                      <w:szCs w:val="20"/>
                    </w:rPr>
                  </w:pPr>
                  <w:r w:rsidRPr="00A92029">
                    <w:rPr>
                      <w:rFonts w:cstheme="minorHAnsi"/>
                      <w:sz w:val="20"/>
                      <w:szCs w:val="20"/>
                    </w:rPr>
                    <w:t>Any</w:t>
                  </w:r>
                </w:p>
              </w:tc>
              <w:tc>
                <w:tcPr>
                  <w:tcW w:w="954" w:type="pct"/>
                </w:tcPr>
                <w:p w14:paraId="4F7344D9" w14:textId="77777777" w:rsidR="004C3072" w:rsidRPr="00A92029" w:rsidRDefault="004C3072" w:rsidP="004C3072">
                  <w:pPr>
                    <w:tabs>
                      <w:tab w:val="right" w:pos="6732"/>
                    </w:tabs>
                    <w:rPr>
                      <w:rFonts w:cstheme="minorHAnsi"/>
                      <w:sz w:val="20"/>
                      <w:szCs w:val="20"/>
                    </w:rPr>
                  </w:pPr>
                  <w:r w:rsidRPr="00A92029">
                    <w:rPr>
                      <w:rFonts w:cstheme="minorHAnsi"/>
                      <w:sz w:val="20"/>
                      <w:szCs w:val="20"/>
                    </w:rPr>
                    <w:t>Any</w:t>
                  </w:r>
                </w:p>
              </w:tc>
              <w:tc>
                <w:tcPr>
                  <w:tcW w:w="866" w:type="pct"/>
                </w:tcPr>
                <w:p w14:paraId="142512E6" w14:textId="77777777" w:rsidR="004C3072" w:rsidRPr="00A92029" w:rsidRDefault="004C3072" w:rsidP="004C3072">
                  <w:pPr>
                    <w:tabs>
                      <w:tab w:val="right" w:pos="6732"/>
                    </w:tabs>
                    <w:rPr>
                      <w:rFonts w:cstheme="minorHAnsi"/>
                      <w:sz w:val="20"/>
                      <w:szCs w:val="20"/>
                    </w:rPr>
                  </w:pPr>
                  <w:r>
                    <w:rPr>
                      <w:rFonts w:cstheme="minorHAnsi"/>
                      <w:sz w:val="20"/>
                      <w:szCs w:val="20"/>
                    </w:rPr>
                    <w:t>0.55</w:t>
                  </w:r>
                </w:p>
              </w:tc>
            </w:tr>
          </w:tbl>
          <w:p w14:paraId="1AE06F98" w14:textId="77777777" w:rsidR="00672876" w:rsidRPr="00A92029" w:rsidRDefault="00672876">
            <w:pPr>
              <w:rPr>
                <w:rFonts w:cstheme="minorHAnsi"/>
                <w:sz w:val="20"/>
                <w:szCs w:val="20"/>
              </w:rPr>
            </w:pPr>
          </w:p>
          <w:p w14:paraId="2F25E992" w14:textId="77777777" w:rsidR="00672876" w:rsidRPr="00A92029" w:rsidRDefault="00672876" w:rsidP="00523326">
            <w:pPr>
              <w:rPr>
                <w:rFonts w:cstheme="minorHAnsi"/>
                <w:sz w:val="20"/>
                <w:szCs w:val="20"/>
              </w:rPr>
            </w:pPr>
          </w:p>
        </w:tc>
      </w:tr>
      <w:tr w:rsidR="00672876" w:rsidRPr="00A92029" w14:paraId="322112CE" w14:textId="77777777" w:rsidTr="00FB6ADB">
        <w:trPr>
          <w:cantSplit/>
        </w:trPr>
        <w:tc>
          <w:tcPr>
            <w:tcW w:w="2401" w:type="dxa"/>
            <w:vAlign w:val="center"/>
          </w:tcPr>
          <w:p w14:paraId="737F56F5" w14:textId="77777777" w:rsidR="00672876" w:rsidRPr="00A92029" w:rsidRDefault="00672876" w:rsidP="00523326">
            <w:pPr>
              <w:jc w:val="right"/>
              <w:rPr>
                <w:rFonts w:cstheme="minorHAnsi"/>
                <w:sz w:val="20"/>
                <w:szCs w:val="20"/>
              </w:rPr>
            </w:pPr>
            <w:r w:rsidRPr="00A92029">
              <w:rPr>
                <w:rFonts w:cstheme="minorHAnsi"/>
                <w:sz w:val="20"/>
                <w:szCs w:val="20"/>
              </w:rPr>
              <w:t>GSIA</w:t>
            </w:r>
          </w:p>
        </w:tc>
        <w:tc>
          <w:tcPr>
            <w:tcW w:w="6949" w:type="dxa"/>
          </w:tcPr>
          <w:p w14:paraId="7737DB81" w14:textId="77777777" w:rsidR="00672876" w:rsidRPr="00A92029" w:rsidRDefault="00672876">
            <w:pPr>
              <w:rPr>
                <w:rFonts w:cstheme="minorHAnsi"/>
                <w:sz w:val="20"/>
                <w:szCs w:val="20"/>
              </w:rPr>
            </w:pPr>
          </w:p>
          <w:tbl>
            <w:tblPr>
              <w:tblStyle w:val="TableGrid"/>
              <w:tblW w:w="5000" w:type="pct"/>
              <w:tblLook w:val="04A0" w:firstRow="1" w:lastRow="0" w:firstColumn="1" w:lastColumn="0" w:noHBand="0" w:noVBand="1"/>
            </w:tblPr>
            <w:tblGrid>
              <w:gridCol w:w="1041"/>
              <w:gridCol w:w="1367"/>
              <w:gridCol w:w="808"/>
              <w:gridCol w:w="1060"/>
              <w:gridCol w:w="1283"/>
              <w:gridCol w:w="1164"/>
            </w:tblGrid>
            <w:tr w:rsidR="00672876" w:rsidRPr="00A92029" w14:paraId="3AB0D884" w14:textId="77777777" w:rsidTr="003E39EC">
              <w:tc>
                <w:tcPr>
                  <w:tcW w:w="774" w:type="pct"/>
                </w:tcPr>
                <w:p w14:paraId="34ECD049" w14:textId="77777777" w:rsidR="00672876" w:rsidRPr="00A92029" w:rsidRDefault="00672876" w:rsidP="00523326">
                  <w:pPr>
                    <w:tabs>
                      <w:tab w:val="right" w:pos="6732"/>
                    </w:tabs>
                    <w:rPr>
                      <w:rFonts w:cstheme="minorHAnsi"/>
                      <w:b/>
                      <w:sz w:val="20"/>
                      <w:szCs w:val="20"/>
                    </w:rPr>
                  </w:pPr>
                  <w:r w:rsidRPr="00A92029">
                    <w:rPr>
                      <w:rFonts w:cstheme="minorHAnsi"/>
                      <w:b/>
                      <w:sz w:val="20"/>
                      <w:szCs w:val="20"/>
                    </w:rPr>
                    <w:t>GSIA</w:t>
                  </w:r>
                </w:p>
              </w:tc>
              <w:tc>
                <w:tcPr>
                  <w:tcW w:w="1017" w:type="pct"/>
                </w:tcPr>
                <w:p w14:paraId="7BFF5410" w14:textId="77777777" w:rsidR="00672876" w:rsidRPr="00A92029" w:rsidRDefault="00672876" w:rsidP="00523326">
                  <w:pPr>
                    <w:tabs>
                      <w:tab w:val="right" w:pos="6732"/>
                    </w:tabs>
                    <w:rPr>
                      <w:rFonts w:cstheme="minorHAnsi"/>
                      <w:b/>
                      <w:sz w:val="20"/>
                      <w:szCs w:val="20"/>
                    </w:rPr>
                  </w:pPr>
                  <w:r w:rsidRPr="00A92029">
                    <w:rPr>
                      <w:rFonts w:cstheme="minorHAnsi"/>
                      <w:b/>
                      <w:sz w:val="20"/>
                      <w:szCs w:val="20"/>
                    </w:rPr>
                    <w:t>Description</w:t>
                  </w:r>
                </w:p>
              </w:tc>
              <w:tc>
                <w:tcPr>
                  <w:tcW w:w="601" w:type="pct"/>
                </w:tcPr>
                <w:p w14:paraId="0D48D7F6" w14:textId="77777777" w:rsidR="00672876" w:rsidRPr="00A92029" w:rsidRDefault="00672876" w:rsidP="00523326">
                  <w:pPr>
                    <w:tabs>
                      <w:tab w:val="right" w:pos="6732"/>
                    </w:tabs>
                    <w:rPr>
                      <w:rFonts w:cstheme="minorHAnsi"/>
                      <w:b/>
                      <w:sz w:val="20"/>
                      <w:szCs w:val="20"/>
                    </w:rPr>
                  </w:pPr>
                  <w:r w:rsidRPr="00A92029">
                    <w:rPr>
                      <w:rFonts w:cstheme="minorHAnsi"/>
                      <w:b/>
                      <w:sz w:val="20"/>
                      <w:szCs w:val="20"/>
                    </w:rPr>
                    <w:t>Sector</w:t>
                  </w:r>
                </w:p>
              </w:tc>
              <w:tc>
                <w:tcPr>
                  <w:tcW w:w="788" w:type="pct"/>
                </w:tcPr>
                <w:p w14:paraId="3E91AC71" w14:textId="77777777" w:rsidR="00672876" w:rsidRPr="00A92029" w:rsidRDefault="00672876" w:rsidP="00523326">
                  <w:pPr>
                    <w:tabs>
                      <w:tab w:val="right" w:pos="6732"/>
                    </w:tabs>
                    <w:rPr>
                      <w:rFonts w:cstheme="minorHAnsi"/>
                      <w:b/>
                      <w:sz w:val="20"/>
                      <w:szCs w:val="20"/>
                    </w:rPr>
                  </w:pPr>
                  <w:proofErr w:type="spellStart"/>
                  <w:r w:rsidRPr="00A92029">
                    <w:rPr>
                      <w:rFonts w:cstheme="minorHAnsi"/>
                      <w:b/>
                      <w:sz w:val="20"/>
                      <w:szCs w:val="20"/>
                    </w:rPr>
                    <w:t>BldgType</w:t>
                  </w:r>
                  <w:proofErr w:type="spellEnd"/>
                </w:p>
              </w:tc>
              <w:tc>
                <w:tcPr>
                  <w:tcW w:w="954" w:type="pct"/>
                </w:tcPr>
                <w:p w14:paraId="75914E1A" w14:textId="77777777" w:rsidR="00672876" w:rsidRPr="00A92029" w:rsidRDefault="00672876" w:rsidP="00523326">
                  <w:pPr>
                    <w:tabs>
                      <w:tab w:val="right" w:pos="6732"/>
                    </w:tabs>
                    <w:rPr>
                      <w:rFonts w:cstheme="minorHAnsi"/>
                      <w:b/>
                      <w:sz w:val="20"/>
                      <w:szCs w:val="20"/>
                    </w:rPr>
                  </w:pPr>
                  <w:proofErr w:type="spellStart"/>
                  <w:r w:rsidRPr="00A92029">
                    <w:rPr>
                      <w:rFonts w:cstheme="minorHAnsi"/>
                      <w:b/>
                      <w:sz w:val="20"/>
                      <w:szCs w:val="20"/>
                    </w:rPr>
                    <w:t>ProgDelivID</w:t>
                  </w:r>
                  <w:proofErr w:type="spellEnd"/>
                </w:p>
              </w:tc>
              <w:tc>
                <w:tcPr>
                  <w:tcW w:w="866" w:type="pct"/>
                </w:tcPr>
                <w:p w14:paraId="626E4097" w14:textId="77777777" w:rsidR="00672876" w:rsidRPr="00A92029" w:rsidRDefault="00672876" w:rsidP="00523326">
                  <w:pPr>
                    <w:tabs>
                      <w:tab w:val="right" w:pos="6732"/>
                    </w:tabs>
                    <w:rPr>
                      <w:rFonts w:cstheme="minorHAnsi"/>
                      <w:b/>
                      <w:sz w:val="20"/>
                      <w:szCs w:val="20"/>
                    </w:rPr>
                  </w:pPr>
                  <w:proofErr w:type="spellStart"/>
                  <w:r w:rsidRPr="00A92029">
                    <w:rPr>
                      <w:rFonts w:cstheme="minorHAnsi"/>
                      <w:b/>
                      <w:sz w:val="20"/>
                      <w:szCs w:val="20"/>
                    </w:rPr>
                    <w:t>GSIAValue</w:t>
                  </w:r>
                  <w:proofErr w:type="spellEnd"/>
                </w:p>
              </w:tc>
            </w:tr>
            <w:tr w:rsidR="00672876" w:rsidRPr="00A92029" w14:paraId="416B4367" w14:textId="77777777" w:rsidTr="003E39EC">
              <w:tc>
                <w:tcPr>
                  <w:tcW w:w="774" w:type="pct"/>
                </w:tcPr>
                <w:p w14:paraId="2D6F1CDE" w14:textId="77777777" w:rsidR="00672876" w:rsidRPr="00A92029" w:rsidRDefault="00672876" w:rsidP="00523326">
                  <w:pPr>
                    <w:tabs>
                      <w:tab w:val="right" w:pos="6732"/>
                    </w:tabs>
                    <w:rPr>
                      <w:rFonts w:cstheme="minorHAnsi"/>
                      <w:sz w:val="20"/>
                      <w:szCs w:val="20"/>
                    </w:rPr>
                  </w:pPr>
                  <w:r w:rsidRPr="00A92029">
                    <w:rPr>
                      <w:rFonts w:cstheme="minorHAnsi"/>
                      <w:sz w:val="20"/>
                      <w:szCs w:val="20"/>
                    </w:rPr>
                    <w:t>Def-GSIA</w:t>
                  </w:r>
                </w:p>
              </w:tc>
              <w:tc>
                <w:tcPr>
                  <w:tcW w:w="1017" w:type="pct"/>
                </w:tcPr>
                <w:p w14:paraId="1AB32D1E" w14:textId="77777777" w:rsidR="00672876" w:rsidRPr="00A92029" w:rsidRDefault="00672876" w:rsidP="00523326">
                  <w:pPr>
                    <w:tabs>
                      <w:tab w:val="right" w:pos="6732"/>
                    </w:tabs>
                    <w:rPr>
                      <w:rFonts w:cstheme="minorHAnsi"/>
                      <w:sz w:val="20"/>
                      <w:szCs w:val="20"/>
                    </w:rPr>
                  </w:pPr>
                  <w:r w:rsidRPr="00A92029">
                    <w:rPr>
                      <w:rFonts w:cstheme="minorHAnsi"/>
                      <w:sz w:val="20"/>
                      <w:szCs w:val="20"/>
                    </w:rPr>
                    <w:t>Default GSIA</w:t>
                  </w:r>
                </w:p>
              </w:tc>
              <w:tc>
                <w:tcPr>
                  <w:tcW w:w="601" w:type="pct"/>
                </w:tcPr>
                <w:p w14:paraId="66D6A1C7" w14:textId="77777777" w:rsidR="00672876" w:rsidRPr="00A92029" w:rsidRDefault="00672876" w:rsidP="00523326">
                  <w:pPr>
                    <w:tabs>
                      <w:tab w:val="right" w:pos="6732"/>
                    </w:tabs>
                    <w:rPr>
                      <w:rFonts w:cstheme="minorHAnsi"/>
                      <w:sz w:val="20"/>
                      <w:szCs w:val="20"/>
                    </w:rPr>
                  </w:pPr>
                  <w:r w:rsidRPr="00A92029">
                    <w:rPr>
                      <w:rFonts w:cstheme="minorHAnsi"/>
                      <w:sz w:val="20"/>
                      <w:szCs w:val="20"/>
                    </w:rPr>
                    <w:t>Any</w:t>
                  </w:r>
                </w:p>
              </w:tc>
              <w:tc>
                <w:tcPr>
                  <w:tcW w:w="788" w:type="pct"/>
                </w:tcPr>
                <w:p w14:paraId="53092CE1" w14:textId="77777777" w:rsidR="00672876" w:rsidRPr="00A92029" w:rsidRDefault="00672876" w:rsidP="00523326">
                  <w:pPr>
                    <w:tabs>
                      <w:tab w:val="right" w:pos="6732"/>
                    </w:tabs>
                    <w:rPr>
                      <w:rFonts w:cstheme="minorHAnsi"/>
                      <w:sz w:val="20"/>
                      <w:szCs w:val="20"/>
                    </w:rPr>
                  </w:pPr>
                  <w:r w:rsidRPr="00A92029">
                    <w:rPr>
                      <w:rFonts w:cstheme="minorHAnsi"/>
                      <w:sz w:val="20"/>
                      <w:szCs w:val="20"/>
                    </w:rPr>
                    <w:t>Any</w:t>
                  </w:r>
                </w:p>
              </w:tc>
              <w:tc>
                <w:tcPr>
                  <w:tcW w:w="954" w:type="pct"/>
                </w:tcPr>
                <w:p w14:paraId="220B888F" w14:textId="77777777" w:rsidR="00672876" w:rsidRPr="00A92029" w:rsidRDefault="00672876" w:rsidP="00523326">
                  <w:pPr>
                    <w:tabs>
                      <w:tab w:val="right" w:pos="6732"/>
                    </w:tabs>
                    <w:rPr>
                      <w:rFonts w:cstheme="minorHAnsi"/>
                      <w:sz w:val="20"/>
                      <w:szCs w:val="20"/>
                    </w:rPr>
                  </w:pPr>
                  <w:r w:rsidRPr="00A92029">
                    <w:rPr>
                      <w:rFonts w:cstheme="minorHAnsi"/>
                      <w:sz w:val="20"/>
                      <w:szCs w:val="20"/>
                    </w:rPr>
                    <w:t>Any</w:t>
                  </w:r>
                </w:p>
              </w:tc>
              <w:tc>
                <w:tcPr>
                  <w:tcW w:w="866" w:type="pct"/>
                </w:tcPr>
                <w:p w14:paraId="2F82A11B" w14:textId="77777777" w:rsidR="00672876" w:rsidRPr="00A92029" w:rsidRDefault="00672876" w:rsidP="00523326">
                  <w:pPr>
                    <w:tabs>
                      <w:tab w:val="right" w:pos="6732"/>
                    </w:tabs>
                    <w:rPr>
                      <w:rFonts w:cstheme="minorHAnsi"/>
                      <w:sz w:val="20"/>
                      <w:szCs w:val="20"/>
                    </w:rPr>
                  </w:pPr>
                  <w:r w:rsidRPr="00A92029">
                    <w:rPr>
                      <w:rFonts w:cstheme="minorHAnsi"/>
                      <w:sz w:val="20"/>
                      <w:szCs w:val="20"/>
                    </w:rPr>
                    <w:t>1</w:t>
                  </w:r>
                </w:p>
              </w:tc>
            </w:tr>
          </w:tbl>
          <w:p w14:paraId="4B05A1E8" w14:textId="77777777" w:rsidR="00672876" w:rsidRPr="00A92029" w:rsidRDefault="00672876" w:rsidP="00523326">
            <w:pPr>
              <w:tabs>
                <w:tab w:val="right" w:pos="6732"/>
              </w:tabs>
              <w:rPr>
                <w:rFonts w:cstheme="minorHAnsi"/>
                <w:sz w:val="20"/>
                <w:szCs w:val="20"/>
              </w:rPr>
            </w:pPr>
          </w:p>
        </w:tc>
      </w:tr>
      <w:tr w:rsidR="00672876" w:rsidRPr="00A92029" w14:paraId="2C56D587" w14:textId="77777777" w:rsidTr="00FB6ADB">
        <w:trPr>
          <w:cantSplit/>
        </w:trPr>
        <w:tc>
          <w:tcPr>
            <w:tcW w:w="2401" w:type="dxa"/>
            <w:vAlign w:val="center"/>
          </w:tcPr>
          <w:p w14:paraId="39DB344A" w14:textId="77777777" w:rsidR="00672876" w:rsidRPr="00A92029" w:rsidRDefault="00672876" w:rsidP="00523326">
            <w:pPr>
              <w:jc w:val="right"/>
              <w:rPr>
                <w:rFonts w:cstheme="minorHAnsi"/>
                <w:sz w:val="20"/>
                <w:szCs w:val="20"/>
              </w:rPr>
            </w:pPr>
            <w:r w:rsidRPr="00A92029">
              <w:rPr>
                <w:rFonts w:cstheme="minorHAnsi"/>
                <w:sz w:val="20"/>
                <w:szCs w:val="20"/>
              </w:rPr>
              <w:t>Effective and Remaining Useful Life</w:t>
            </w:r>
          </w:p>
        </w:tc>
        <w:tc>
          <w:tcPr>
            <w:tcW w:w="6949" w:type="dxa"/>
          </w:tcPr>
          <w:p w14:paraId="2971D15A" w14:textId="77777777" w:rsidR="00672876" w:rsidRPr="00A92029" w:rsidRDefault="00672876">
            <w:pPr>
              <w:rPr>
                <w:rFonts w:cstheme="minorHAnsi"/>
                <w:sz w:val="20"/>
                <w:szCs w:val="20"/>
              </w:rPr>
            </w:pPr>
          </w:p>
          <w:tbl>
            <w:tblPr>
              <w:tblStyle w:val="TableGrid"/>
              <w:tblW w:w="5000" w:type="pct"/>
              <w:tblLook w:val="04A0" w:firstRow="1" w:lastRow="0" w:firstColumn="1" w:lastColumn="0" w:noHBand="0" w:noVBand="1"/>
            </w:tblPr>
            <w:tblGrid>
              <w:gridCol w:w="999"/>
              <w:gridCol w:w="1325"/>
              <w:gridCol w:w="766"/>
              <w:gridCol w:w="1270"/>
              <w:gridCol w:w="1241"/>
              <w:gridCol w:w="1122"/>
            </w:tblGrid>
            <w:tr w:rsidR="004C3072" w:rsidRPr="00A92029" w14:paraId="093725D4" w14:textId="77777777" w:rsidTr="005F1D5A">
              <w:tc>
                <w:tcPr>
                  <w:tcW w:w="774" w:type="pct"/>
                </w:tcPr>
                <w:p w14:paraId="0E7934B4" w14:textId="77777777" w:rsidR="004C3072" w:rsidRPr="00A92029" w:rsidRDefault="004C3072" w:rsidP="004C3072">
                  <w:pPr>
                    <w:tabs>
                      <w:tab w:val="right" w:pos="6732"/>
                    </w:tabs>
                    <w:rPr>
                      <w:rFonts w:cstheme="minorHAnsi"/>
                      <w:b/>
                      <w:sz w:val="20"/>
                      <w:szCs w:val="20"/>
                    </w:rPr>
                  </w:pPr>
                  <w:r>
                    <w:rPr>
                      <w:rFonts w:cstheme="minorHAnsi"/>
                      <w:b/>
                      <w:sz w:val="20"/>
                      <w:szCs w:val="20"/>
                    </w:rPr>
                    <w:t>EUL ID</w:t>
                  </w:r>
                </w:p>
              </w:tc>
              <w:tc>
                <w:tcPr>
                  <w:tcW w:w="1017" w:type="pct"/>
                </w:tcPr>
                <w:p w14:paraId="5AE78A0C" w14:textId="77777777" w:rsidR="004C3072" w:rsidRPr="00A92029" w:rsidRDefault="004C3072" w:rsidP="004C3072">
                  <w:pPr>
                    <w:tabs>
                      <w:tab w:val="right" w:pos="6732"/>
                    </w:tabs>
                    <w:rPr>
                      <w:rFonts w:cstheme="minorHAnsi"/>
                      <w:b/>
                      <w:sz w:val="20"/>
                      <w:szCs w:val="20"/>
                    </w:rPr>
                  </w:pPr>
                  <w:r w:rsidRPr="00A92029">
                    <w:rPr>
                      <w:rFonts w:cstheme="minorHAnsi"/>
                      <w:b/>
                      <w:sz w:val="20"/>
                      <w:szCs w:val="20"/>
                    </w:rPr>
                    <w:t>Description</w:t>
                  </w:r>
                </w:p>
              </w:tc>
              <w:tc>
                <w:tcPr>
                  <w:tcW w:w="601" w:type="pct"/>
                </w:tcPr>
                <w:p w14:paraId="7FA7D216" w14:textId="77777777" w:rsidR="004C3072" w:rsidRPr="00A92029" w:rsidRDefault="004C3072" w:rsidP="004C3072">
                  <w:pPr>
                    <w:tabs>
                      <w:tab w:val="right" w:pos="6732"/>
                    </w:tabs>
                    <w:rPr>
                      <w:rFonts w:cstheme="minorHAnsi"/>
                      <w:b/>
                      <w:sz w:val="20"/>
                      <w:szCs w:val="20"/>
                    </w:rPr>
                  </w:pPr>
                  <w:r w:rsidRPr="00A92029">
                    <w:rPr>
                      <w:rFonts w:cstheme="minorHAnsi"/>
                      <w:b/>
                      <w:sz w:val="20"/>
                      <w:szCs w:val="20"/>
                    </w:rPr>
                    <w:t>Sector</w:t>
                  </w:r>
                </w:p>
              </w:tc>
              <w:tc>
                <w:tcPr>
                  <w:tcW w:w="788" w:type="pct"/>
                </w:tcPr>
                <w:p w14:paraId="64338D20" w14:textId="77777777" w:rsidR="004C3072" w:rsidRPr="00A92029" w:rsidRDefault="004C3072" w:rsidP="004C3072">
                  <w:pPr>
                    <w:tabs>
                      <w:tab w:val="right" w:pos="6732"/>
                    </w:tabs>
                    <w:rPr>
                      <w:rFonts w:cstheme="minorHAnsi"/>
                      <w:b/>
                      <w:sz w:val="20"/>
                      <w:szCs w:val="20"/>
                    </w:rPr>
                  </w:pPr>
                  <w:proofErr w:type="spellStart"/>
                  <w:r>
                    <w:rPr>
                      <w:rFonts w:cstheme="minorHAnsi"/>
                      <w:b/>
                      <w:sz w:val="20"/>
                      <w:szCs w:val="20"/>
                    </w:rPr>
                    <w:t>UseCategory</w:t>
                  </w:r>
                  <w:proofErr w:type="spellEnd"/>
                </w:p>
              </w:tc>
              <w:tc>
                <w:tcPr>
                  <w:tcW w:w="954" w:type="pct"/>
                </w:tcPr>
                <w:p w14:paraId="28B9FDA3" w14:textId="77777777" w:rsidR="004C3072" w:rsidRPr="00A92029" w:rsidRDefault="004C3072" w:rsidP="004C3072">
                  <w:pPr>
                    <w:tabs>
                      <w:tab w:val="right" w:pos="6732"/>
                    </w:tabs>
                    <w:rPr>
                      <w:rFonts w:cstheme="minorHAnsi"/>
                      <w:b/>
                      <w:sz w:val="20"/>
                      <w:szCs w:val="20"/>
                    </w:rPr>
                  </w:pPr>
                  <w:r>
                    <w:rPr>
                      <w:rFonts w:cstheme="minorHAnsi"/>
                      <w:b/>
                      <w:sz w:val="20"/>
                      <w:szCs w:val="20"/>
                    </w:rPr>
                    <w:t>EUL (Year)</w:t>
                  </w:r>
                </w:p>
              </w:tc>
              <w:tc>
                <w:tcPr>
                  <w:tcW w:w="866" w:type="pct"/>
                </w:tcPr>
                <w:p w14:paraId="0244171B" w14:textId="77777777" w:rsidR="004C3072" w:rsidRPr="00A92029" w:rsidRDefault="004C3072" w:rsidP="004C3072">
                  <w:pPr>
                    <w:tabs>
                      <w:tab w:val="right" w:pos="6732"/>
                    </w:tabs>
                    <w:rPr>
                      <w:rFonts w:cstheme="minorHAnsi"/>
                      <w:b/>
                      <w:sz w:val="20"/>
                      <w:szCs w:val="20"/>
                    </w:rPr>
                  </w:pPr>
                  <w:r>
                    <w:rPr>
                      <w:rFonts w:cstheme="minorHAnsi"/>
                      <w:b/>
                      <w:sz w:val="20"/>
                      <w:szCs w:val="20"/>
                    </w:rPr>
                    <w:t>RUL (Year)</w:t>
                  </w:r>
                </w:p>
              </w:tc>
            </w:tr>
            <w:tr w:rsidR="004C3072" w:rsidRPr="00A92029" w14:paraId="23E80175" w14:textId="77777777" w:rsidTr="005F1D5A">
              <w:tc>
                <w:tcPr>
                  <w:tcW w:w="774" w:type="pct"/>
                </w:tcPr>
                <w:p w14:paraId="23B2E048" w14:textId="77777777" w:rsidR="004C3072" w:rsidRPr="00A92029" w:rsidRDefault="004C3072" w:rsidP="004C3072">
                  <w:pPr>
                    <w:tabs>
                      <w:tab w:val="right" w:pos="6732"/>
                    </w:tabs>
                    <w:rPr>
                      <w:rFonts w:cstheme="minorHAnsi"/>
                      <w:sz w:val="20"/>
                      <w:szCs w:val="20"/>
                    </w:rPr>
                  </w:pPr>
                  <w:proofErr w:type="spellStart"/>
                  <w:r>
                    <w:rPr>
                      <w:rFonts w:cstheme="minorHAnsi"/>
                      <w:sz w:val="20"/>
                      <w:szCs w:val="20"/>
                    </w:rPr>
                    <w:t>WtrHt</w:t>
                  </w:r>
                  <w:proofErr w:type="spellEnd"/>
                  <w:r>
                    <w:rPr>
                      <w:rFonts w:cstheme="minorHAnsi"/>
                      <w:sz w:val="20"/>
                      <w:szCs w:val="20"/>
                    </w:rPr>
                    <w:t>-Res-Gas</w:t>
                  </w:r>
                </w:p>
              </w:tc>
              <w:tc>
                <w:tcPr>
                  <w:tcW w:w="1017" w:type="pct"/>
                </w:tcPr>
                <w:p w14:paraId="2052DF59" w14:textId="77777777" w:rsidR="004C3072" w:rsidRPr="00A92029" w:rsidRDefault="004C3072" w:rsidP="004C3072">
                  <w:pPr>
                    <w:tabs>
                      <w:tab w:val="right" w:pos="6732"/>
                    </w:tabs>
                    <w:rPr>
                      <w:rFonts w:cstheme="minorHAnsi"/>
                      <w:sz w:val="20"/>
                      <w:szCs w:val="20"/>
                    </w:rPr>
                  </w:pPr>
                  <w:r>
                    <w:rPr>
                      <w:rFonts w:cstheme="minorHAnsi"/>
                      <w:sz w:val="20"/>
                      <w:szCs w:val="20"/>
                    </w:rPr>
                    <w:t>Residential Gas Water Heater</w:t>
                  </w:r>
                </w:p>
              </w:tc>
              <w:tc>
                <w:tcPr>
                  <w:tcW w:w="601" w:type="pct"/>
                </w:tcPr>
                <w:p w14:paraId="264F2294" w14:textId="77777777" w:rsidR="004C3072" w:rsidRPr="00A92029" w:rsidRDefault="004C3072" w:rsidP="004C3072">
                  <w:pPr>
                    <w:tabs>
                      <w:tab w:val="right" w:pos="6732"/>
                    </w:tabs>
                    <w:rPr>
                      <w:rFonts w:cstheme="minorHAnsi"/>
                      <w:sz w:val="20"/>
                      <w:szCs w:val="20"/>
                    </w:rPr>
                  </w:pPr>
                  <w:r>
                    <w:rPr>
                      <w:rFonts w:cstheme="minorHAnsi"/>
                      <w:sz w:val="20"/>
                      <w:szCs w:val="20"/>
                    </w:rPr>
                    <w:t>Res</w:t>
                  </w:r>
                </w:p>
              </w:tc>
              <w:tc>
                <w:tcPr>
                  <w:tcW w:w="788" w:type="pct"/>
                </w:tcPr>
                <w:p w14:paraId="44EE3D4D" w14:textId="77777777" w:rsidR="004C3072" w:rsidRPr="00A92029" w:rsidRDefault="004C3072" w:rsidP="004C3072">
                  <w:pPr>
                    <w:tabs>
                      <w:tab w:val="right" w:pos="6732"/>
                    </w:tabs>
                    <w:rPr>
                      <w:rFonts w:cstheme="minorHAnsi"/>
                      <w:sz w:val="20"/>
                      <w:szCs w:val="20"/>
                    </w:rPr>
                  </w:pPr>
                  <w:r>
                    <w:rPr>
                      <w:rFonts w:cstheme="minorHAnsi"/>
                      <w:sz w:val="20"/>
                      <w:szCs w:val="20"/>
                    </w:rPr>
                    <w:t>SHW</w:t>
                  </w:r>
                </w:p>
              </w:tc>
              <w:tc>
                <w:tcPr>
                  <w:tcW w:w="954" w:type="pct"/>
                </w:tcPr>
                <w:p w14:paraId="02B297A5" w14:textId="77777777" w:rsidR="004C3072" w:rsidRPr="00A92029" w:rsidRDefault="004C3072" w:rsidP="004C3072">
                  <w:pPr>
                    <w:tabs>
                      <w:tab w:val="right" w:pos="6732"/>
                    </w:tabs>
                    <w:rPr>
                      <w:rFonts w:cstheme="minorHAnsi"/>
                      <w:sz w:val="20"/>
                      <w:szCs w:val="20"/>
                    </w:rPr>
                  </w:pPr>
                  <w:r>
                    <w:rPr>
                      <w:rFonts w:cstheme="minorHAnsi"/>
                      <w:sz w:val="20"/>
                      <w:szCs w:val="20"/>
                    </w:rPr>
                    <w:t>11</w:t>
                  </w:r>
                </w:p>
              </w:tc>
              <w:tc>
                <w:tcPr>
                  <w:tcW w:w="866" w:type="pct"/>
                </w:tcPr>
                <w:p w14:paraId="18703683" w14:textId="77777777" w:rsidR="004C3072" w:rsidRPr="00A92029" w:rsidRDefault="004C3072" w:rsidP="004C3072">
                  <w:pPr>
                    <w:tabs>
                      <w:tab w:val="right" w:pos="6732"/>
                    </w:tabs>
                    <w:rPr>
                      <w:rFonts w:cstheme="minorHAnsi"/>
                      <w:sz w:val="20"/>
                      <w:szCs w:val="20"/>
                    </w:rPr>
                  </w:pPr>
                  <w:r>
                    <w:rPr>
                      <w:rFonts w:cstheme="minorHAnsi"/>
                      <w:sz w:val="20"/>
                      <w:szCs w:val="20"/>
                    </w:rPr>
                    <w:t>3.67</w:t>
                  </w:r>
                </w:p>
              </w:tc>
            </w:tr>
          </w:tbl>
          <w:p w14:paraId="168CA306" w14:textId="77777777" w:rsidR="00672876" w:rsidRPr="00A92029" w:rsidRDefault="00672876" w:rsidP="00523326">
            <w:pPr>
              <w:tabs>
                <w:tab w:val="right" w:pos="6732"/>
              </w:tabs>
              <w:rPr>
                <w:rFonts w:cstheme="minorHAnsi"/>
                <w:sz w:val="20"/>
                <w:szCs w:val="20"/>
              </w:rPr>
            </w:pPr>
          </w:p>
        </w:tc>
      </w:tr>
      <w:tr w:rsidR="00672876" w:rsidRPr="00A92029" w14:paraId="37BAEC10" w14:textId="77777777" w:rsidTr="00E94634">
        <w:trPr>
          <w:cantSplit/>
        </w:trPr>
        <w:tc>
          <w:tcPr>
            <w:tcW w:w="2401" w:type="dxa"/>
            <w:vAlign w:val="center"/>
          </w:tcPr>
          <w:p w14:paraId="1A4A664D" w14:textId="77777777" w:rsidR="00672876" w:rsidRPr="00A92029" w:rsidRDefault="00672876" w:rsidP="00523326">
            <w:pPr>
              <w:jc w:val="right"/>
              <w:rPr>
                <w:rFonts w:cstheme="minorHAnsi"/>
                <w:sz w:val="20"/>
                <w:szCs w:val="20"/>
              </w:rPr>
            </w:pPr>
            <w:r w:rsidRPr="00A92029">
              <w:rPr>
                <w:rFonts w:cstheme="minorHAnsi"/>
                <w:b/>
                <w:sz w:val="20"/>
                <w:szCs w:val="20"/>
              </w:rPr>
              <w:t>Section 2. Calculation Methodology</w:t>
            </w:r>
          </w:p>
        </w:tc>
        <w:tc>
          <w:tcPr>
            <w:tcW w:w="6949" w:type="dxa"/>
            <w:vAlign w:val="center"/>
          </w:tcPr>
          <w:p w14:paraId="33434BAD" w14:textId="77777777" w:rsidR="00672876" w:rsidRPr="00A92029" w:rsidRDefault="00672876" w:rsidP="00523326">
            <w:pPr>
              <w:tabs>
                <w:tab w:val="right" w:pos="6732"/>
              </w:tabs>
              <w:rPr>
                <w:rFonts w:cstheme="minorHAnsi"/>
                <w:sz w:val="20"/>
                <w:szCs w:val="20"/>
              </w:rPr>
            </w:pPr>
          </w:p>
        </w:tc>
      </w:tr>
      <w:tr w:rsidR="00672876" w:rsidRPr="00A92029" w14:paraId="126E0B31" w14:textId="77777777" w:rsidTr="00E94634">
        <w:trPr>
          <w:cantSplit/>
        </w:trPr>
        <w:tc>
          <w:tcPr>
            <w:tcW w:w="2401" w:type="dxa"/>
            <w:vAlign w:val="center"/>
          </w:tcPr>
          <w:p w14:paraId="18FEEED7" w14:textId="77777777" w:rsidR="00672876" w:rsidRPr="00A92029" w:rsidRDefault="00672876" w:rsidP="00523326">
            <w:pPr>
              <w:rPr>
                <w:rFonts w:cstheme="minorHAnsi"/>
                <w:b/>
                <w:sz w:val="20"/>
                <w:szCs w:val="20"/>
              </w:rPr>
            </w:pPr>
            <w:r w:rsidRPr="00A92029">
              <w:rPr>
                <w:rFonts w:cstheme="minorHAnsi"/>
                <w:sz w:val="20"/>
                <w:szCs w:val="20"/>
              </w:rPr>
              <w:t>Energy Savings/Peak Demand Reduction – All Measures</w:t>
            </w:r>
          </w:p>
        </w:tc>
        <w:tc>
          <w:tcPr>
            <w:tcW w:w="6949" w:type="dxa"/>
          </w:tcPr>
          <w:p w14:paraId="071D7D75" w14:textId="77777777" w:rsidR="00E51CFA" w:rsidRPr="00E51CFA" w:rsidRDefault="00E51CFA" w:rsidP="00E51CFA">
            <w:pPr>
              <w:tabs>
                <w:tab w:val="right" w:pos="6732"/>
              </w:tabs>
              <w:rPr>
                <w:rFonts w:cstheme="minorHAnsi"/>
                <w:sz w:val="20"/>
                <w:szCs w:val="20"/>
              </w:rPr>
            </w:pPr>
            <w:r w:rsidRPr="00E51CFA">
              <w:rPr>
                <w:rFonts w:cstheme="minorHAnsi"/>
                <w:sz w:val="20"/>
                <w:szCs w:val="20"/>
              </w:rPr>
              <w:t>Please reference WPSCGREWH180207A-Rev00</w:t>
            </w:r>
            <w:r>
              <w:rPr>
                <w:rFonts w:cstheme="minorHAnsi"/>
                <w:sz w:val="20"/>
                <w:szCs w:val="20"/>
              </w:rPr>
              <w:t xml:space="preserve"> Section 2</w:t>
            </w:r>
            <w:r w:rsidRPr="00E51CFA">
              <w:rPr>
                <w:rFonts w:cstheme="minorHAnsi"/>
                <w:sz w:val="20"/>
                <w:szCs w:val="20"/>
              </w:rPr>
              <w:t xml:space="preserve"> </w:t>
            </w:r>
            <w:r>
              <w:rPr>
                <w:rFonts w:cstheme="minorHAnsi"/>
                <w:sz w:val="20"/>
                <w:szCs w:val="20"/>
              </w:rPr>
              <w:t>Calculation Methodology</w:t>
            </w:r>
          </w:p>
          <w:p w14:paraId="1162B2B2" w14:textId="77777777" w:rsidR="00672876" w:rsidRPr="00A92029" w:rsidRDefault="00672876" w:rsidP="00523326">
            <w:pPr>
              <w:pStyle w:val="ListParagraph"/>
              <w:ind w:left="360"/>
              <w:rPr>
                <w:rFonts w:cstheme="minorHAnsi"/>
                <w:sz w:val="20"/>
                <w:szCs w:val="20"/>
              </w:rPr>
            </w:pPr>
          </w:p>
        </w:tc>
      </w:tr>
      <w:tr w:rsidR="00672876" w:rsidRPr="00A92029" w14:paraId="058AD942" w14:textId="77777777" w:rsidTr="00FB6ADB">
        <w:trPr>
          <w:cantSplit/>
        </w:trPr>
        <w:tc>
          <w:tcPr>
            <w:tcW w:w="2401" w:type="dxa"/>
            <w:vAlign w:val="center"/>
          </w:tcPr>
          <w:p w14:paraId="22B016F1" w14:textId="77777777" w:rsidR="00672876" w:rsidRPr="00A92029" w:rsidRDefault="00672876" w:rsidP="00523326">
            <w:pPr>
              <w:jc w:val="right"/>
              <w:rPr>
                <w:rFonts w:cstheme="minorHAnsi"/>
                <w:sz w:val="20"/>
                <w:szCs w:val="20"/>
              </w:rPr>
            </w:pPr>
            <w:r w:rsidRPr="00A92029">
              <w:rPr>
                <w:rFonts w:cstheme="minorHAnsi"/>
                <w:b/>
                <w:sz w:val="20"/>
                <w:szCs w:val="20"/>
              </w:rPr>
              <w:t>Section 3. Load Shapes</w:t>
            </w:r>
          </w:p>
        </w:tc>
        <w:tc>
          <w:tcPr>
            <w:tcW w:w="6949" w:type="dxa"/>
          </w:tcPr>
          <w:p w14:paraId="586CE19C" w14:textId="77777777" w:rsidR="0008049D" w:rsidRDefault="0008049D" w:rsidP="00523326">
            <w:pPr>
              <w:tabs>
                <w:tab w:val="right" w:pos="6732"/>
              </w:tabs>
              <w:rPr>
                <w:rFonts w:cstheme="minorHAnsi"/>
                <w:sz w:val="20"/>
                <w:szCs w:val="20"/>
              </w:rPr>
            </w:pPr>
            <w:proofErr w:type="spellStart"/>
            <w:proofErr w:type="gramStart"/>
            <w:r w:rsidRPr="0008049D">
              <w:rPr>
                <w:rFonts w:cstheme="minorHAnsi"/>
                <w:sz w:val="20"/>
                <w:szCs w:val="20"/>
              </w:rPr>
              <w:t>SDGE:DEER</w:t>
            </w:r>
            <w:proofErr w:type="gramEnd"/>
            <w:r w:rsidRPr="0008049D">
              <w:rPr>
                <w:rFonts w:cstheme="minorHAnsi"/>
                <w:sz w:val="20"/>
                <w:szCs w:val="20"/>
              </w:rPr>
              <w:t>:Res:ClothesDishWasher</w:t>
            </w:r>
            <w:proofErr w:type="spellEnd"/>
            <w:r w:rsidRPr="0008049D">
              <w:rPr>
                <w:rFonts w:cstheme="minorHAnsi"/>
                <w:sz w:val="20"/>
                <w:szCs w:val="20"/>
              </w:rPr>
              <w:t xml:space="preserve"> </w:t>
            </w:r>
          </w:p>
          <w:p w14:paraId="6417F124" w14:textId="77777777" w:rsidR="00672876" w:rsidRPr="00A92029" w:rsidRDefault="00E51CFA" w:rsidP="00523326">
            <w:pPr>
              <w:tabs>
                <w:tab w:val="right" w:pos="6732"/>
              </w:tabs>
              <w:rPr>
                <w:rFonts w:cstheme="minorHAnsi"/>
                <w:sz w:val="20"/>
                <w:szCs w:val="20"/>
              </w:rPr>
            </w:pPr>
            <w:r>
              <w:rPr>
                <w:rFonts w:cstheme="minorHAnsi"/>
                <w:sz w:val="20"/>
                <w:szCs w:val="20"/>
              </w:rPr>
              <w:t>Annual</w:t>
            </w:r>
            <w:r w:rsidR="00672876" w:rsidRPr="00A92029">
              <w:rPr>
                <w:rFonts w:cstheme="minorHAnsi"/>
                <w:sz w:val="20"/>
                <w:szCs w:val="20"/>
              </w:rPr>
              <w:t xml:space="preserve">  </w:t>
            </w:r>
          </w:p>
        </w:tc>
      </w:tr>
      <w:tr w:rsidR="00672876" w:rsidRPr="00A92029" w14:paraId="42F39348" w14:textId="77777777" w:rsidTr="00FB6ADB">
        <w:trPr>
          <w:cantSplit/>
        </w:trPr>
        <w:tc>
          <w:tcPr>
            <w:tcW w:w="2401" w:type="dxa"/>
            <w:vAlign w:val="center"/>
          </w:tcPr>
          <w:p w14:paraId="3ABD7106" w14:textId="77777777" w:rsidR="00672876" w:rsidRPr="00A92029" w:rsidRDefault="00672876" w:rsidP="00523326">
            <w:pPr>
              <w:rPr>
                <w:rFonts w:cstheme="minorHAnsi"/>
                <w:b/>
                <w:sz w:val="20"/>
                <w:szCs w:val="20"/>
              </w:rPr>
            </w:pPr>
            <w:r w:rsidRPr="00A92029">
              <w:rPr>
                <w:rFonts w:cstheme="minorHAnsi"/>
                <w:b/>
                <w:sz w:val="20"/>
                <w:szCs w:val="20"/>
              </w:rPr>
              <w:t>Section 4. Costs</w:t>
            </w:r>
          </w:p>
        </w:tc>
        <w:tc>
          <w:tcPr>
            <w:tcW w:w="6949" w:type="dxa"/>
          </w:tcPr>
          <w:p w14:paraId="10A5C7ED" w14:textId="77777777" w:rsidR="00672876" w:rsidRPr="00A92029" w:rsidRDefault="00672876" w:rsidP="00523326">
            <w:pPr>
              <w:tabs>
                <w:tab w:val="right" w:pos="6732"/>
              </w:tabs>
              <w:rPr>
                <w:rFonts w:cstheme="minorHAnsi"/>
                <w:sz w:val="20"/>
                <w:szCs w:val="20"/>
              </w:rPr>
            </w:pPr>
          </w:p>
        </w:tc>
      </w:tr>
      <w:tr w:rsidR="00672876" w:rsidRPr="00A92029" w14:paraId="45947DB0" w14:textId="77777777" w:rsidTr="00E94634">
        <w:trPr>
          <w:cantSplit/>
        </w:trPr>
        <w:tc>
          <w:tcPr>
            <w:tcW w:w="2401" w:type="dxa"/>
          </w:tcPr>
          <w:p w14:paraId="1566163D" w14:textId="77777777" w:rsidR="00672876" w:rsidRPr="00A92029" w:rsidRDefault="00E51CFA" w:rsidP="00523326">
            <w:pPr>
              <w:rPr>
                <w:rFonts w:cstheme="minorHAnsi"/>
                <w:b/>
                <w:sz w:val="20"/>
                <w:szCs w:val="20"/>
              </w:rPr>
            </w:pPr>
            <w:r>
              <w:rPr>
                <w:rFonts w:cstheme="minorHAnsi"/>
                <w:b/>
                <w:sz w:val="20"/>
                <w:szCs w:val="20"/>
              </w:rPr>
              <w:lastRenderedPageBreak/>
              <w:t>Section 4.1 Baseline and Measure Costs</w:t>
            </w:r>
          </w:p>
        </w:tc>
        <w:tc>
          <w:tcPr>
            <w:tcW w:w="6949" w:type="dxa"/>
          </w:tcPr>
          <w:p w14:paraId="086FD6EA" w14:textId="77777777" w:rsidR="00672876" w:rsidRPr="00A92029" w:rsidRDefault="00672876" w:rsidP="00E51CFA">
            <w:pPr>
              <w:rPr>
                <w:rFonts w:cstheme="minorHAnsi"/>
                <w:sz w:val="20"/>
                <w:szCs w:val="20"/>
              </w:rPr>
            </w:pPr>
          </w:p>
        </w:tc>
      </w:tr>
      <w:tr w:rsidR="00672876" w:rsidRPr="00A92029" w14:paraId="4018C1DE" w14:textId="77777777" w:rsidTr="00FB6ADB">
        <w:trPr>
          <w:cantSplit/>
        </w:trPr>
        <w:tc>
          <w:tcPr>
            <w:tcW w:w="2401" w:type="dxa"/>
          </w:tcPr>
          <w:p w14:paraId="6CA6A8FE" w14:textId="77777777" w:rsidR="00672876" w:rsidRPr="00A92029" w:rsidRDefault="00E51CFA" w:rsidP="00E51CFA">
            <w:pPr>
              <w:rPr>
                <w:rFonts w:cstheme="minorHAnsi"/>
                <w:b/>
                <w:sz w:val="20"/>
                <w:szCs w:val="20"/>
              </w:rPr>
            </w:pPr>
            <w:r>
              <w:rPr>
                <w:rFonts w:cstheme="minorHAnsi"/>
                <w:sz w:val="20"/>
                <w:szCs w:val="20"/>
              </w:rPr>
              <w:t xml:space="preserve">Base Cost </w:t>
            </w:r>
          </w:p>
        </w:tc>
        <w:tc>
          <w:tcPr>
            <w:tcW w:w="6949" w:type="dxa"/>
          </w:tcPr>
          <w:p w14:paraId="50AE133B" w14:textId="77777777" w:rsidR="00E51CFA" w:rsidRPr="00E51CFA" w:rsidRDefault="00E51CFA" w:rsidP="00E51CFA">
            <w:pPr>
              <w:rPr>
                <w:rFonts w:cstheme="minorHAnsi"/>
                <w:sz w:val="20"/>
                <w:szCs w:val="20"/>
              </w:rPr>
            </w:pPr>
            <w:r w:rsidRPr="00E51CFA">
              <w:rPr>
                <w:rFonts w:cstheme="minorHAnsi"/>
                <w:sz w:val="20"/>
                <w:szCs w:val="20"/>
              </w:rPr>
              <w:t xml:space="preserve">Please reference WPSCGREWH180207A-Rev00 Section 4.1 Base Case Cost for details on how baseline cost estimates were determined. </w:t>
            </w:r>
          </w:p>
          <w:p w14:paraId="41249B1F" w14:textId="77777777" w:rsidR="00E51CFA" w:rsidRPr="00E51CFA" w:rsidRDefault="00E51CFA" w:rsidP="00E51CFA">
            <w:pPr>
              <w:rPr>
                <w:rFonts w:cstheme="minorHAnsi"/>
                <w:sz w:val="20"/>
                <w:szCs w:val="20"/>
              </w:rPr>
            </w:pPr>
          </w:p>
          <w:p w14:paraId="345FC230" w14:textId="77777777" w:rsidR="00E51CFA" w:rsidRPr="00E51CFA" w:rsidRDefault="00E51CFA" w:rsidP="00E51CFA">
            <w:pPr>
              <w:rPr>
                <w:rFonts w:cstheme="minorHAnsi"/>
                <w:sz w:val="20"/>
                <w:szCs w:val="20"/>
              </w:rPr>
            </w:pPr>
            <w:r w:rsidRPr="00E51CFA">
              <w:rPr>
                <w:rFonts w:cstheme="minorHAnsi"/>
                <w:sz w:val="20"/>
                <w:szCs w:val="20"/>
              </w:rPr>
              <w:t xml:space="preserve">SDG&amp;E adopts all cost and created SDG&amp;E measure cost IDs for reporting purposes. SDG&amp;E measure cost IDs are included in Ex-Ante tables submission. </w:t>
            </w:r>
          </w:p>
          <w:p w14:paraId="58A981AE" w14:textId="77777777" w:rsidR="00672876" w:rsidRPr="00A92029" w:rsidRDefault="00672876">
            <w:pPr>
              <w:rPr>
                <w:rFonts w:cstheme="minorHAnsi"/>
                <w:sz w:val="20"/>
                <w:szCs w:val="20"/>
              </w:rPr>
            </w:pPr>
          </w:p>
          <w:p w14:paraId="79E0CCAB" w14:textId="77777777" w:rsidR="00672876" w:rsidRPr="00A92029" w:rsidRDefault="00672876" w:rsidP="00523326">
            <w:pPr>
              <w:rPr>
                <w:rFonts w:cstheme="minorHAnsi"/>
                <w:sz w:val="20"/>
                <w:szCs w:val="20"/>
              </w:rPr>
            </w:pPr>
          </w:p>
        </w:tc>
      </w:tr>
      <w:tr w:rsidR="00672876" w:rsidRPr="00A92029" w14:paraId="637E49E1" w14:textId="77777777" w:rsidTr="00FB6ADB">
        <w:trPr>
          <w:cantSplit/>
        </w:trPr>
        <w:tc>
          <w:tcPr>
            <w:tcW w:w="2401" w:type="dxa"/>
          </w:tcPr>
          <w:p w14:paraId="10D24455" w14:textId="77777777" w:rsidR="00672876" w:rsidRPr="00A92029" w:rsidRDefault="00E51CFA" w:rsidP="00E51CFA">
            <w:pPr>
              <w:rPr>
                <w:rFonts w:cstheme="minorHAnsi"/>
                <w:sz w:val="20"/>
                <w:szCs w:val="20"/>
              </w:rPr>
            </w:pPr>
            <w:r>
              <w:rPr>
                <w:rFonts w:cstheme="minorHAnsi"/>
                <w:sz w:val="20"/>
                <w:szCs w:val="20"/>
              </w:rPr>
              <w:t xml:space="preserve">Measure Cost </w:t>
            </w:r>
          </w:p>
        </w:tc>
        <w:tc>
          <w:tcPr>
            <w:tcW w:w="6949" w:type="dxa"/>
          </w:tcPr>
          <w:p w14:paraId="6D942CD2" w14:textId="77777777" w:rsidR="00E51CFA" w:rsidRPr="00E51CFA" w:rsidRDefault="00E51CFA" w:rsidP="00E51CFA">
            <w:pPr>
              <w:tabs>
                <w:tab w:val="right" w:pos="6732"/>
              </w:tabs>
              <w:rPr>
                <w:rFonts w:cstheme="minorHAnsi"/>
                <w:sz w:val="20"/>
                <w:szCs w:val="20"/>
              </w:rPr>
            </w:pPr>
            <w:r w:rsidRPr="00E51CFA">
              <w:rPr>
                <w:rFonts w:cstheme="minorHAnsi"/>
                <w:sz w:val="20"/>
                <w:szCs w:val="20"/>
              </w:rPr>
              <w:t xml:space="preserve">Please reference WPSCGREWH180207A-Rev00 Section 4.2 Measure Case Cost for details on how measure cost estimates were determined. </w:t>
            </w:r>
          </w:p>
          <w:p w14:paraId="68885A1D" w14:textId="77777777" w:rsidR="00E51CFA" w:rsidRPr="00E51CFA" w:rsidRDefault="00E51CFA" w:rsidP="00E51CFA">
            <w:pPr>
              <w:tabs>
                <w:tab w:val="right" w:pos="6732"/>
              </w:tabs>
              <w:rPr>
                <w:rFonts w:cstheme="minorHAnsi"/>
                <w:sz w:val="20"/>
                <w:szCs w:val="20"/>
              </w:rPr>
            </w:pPr>
          </w:p>
          <w:p w14:paraId="51F6050B" w14:textId="77777777" w:rsidR="00E51CFA" w:rsidRPr="00E51CFA" w:rsidRDefault="00E51CFA" w:rsidP="00E51CFA">
            <w:pPr>
              <w:tabs>
                <w:tab w:val="right" w:pos="6732"/>
              </w:tabs>
              <w:rPr>
                <w:rFonts w:cstheme="minorHAnsi"/>
                <w:sz w:val="20"/>
                <w:szCs w:val="20"/>
              </w:rPr>
            </w:pPr>
            <w:r w:rsidRPr="00E51CFA">
              <w:rPr>
                <w:rFonts w:cstheme="minorHAnsi"/>
                <w:sz w:val="20"/>
                <w:szCs w:val="20"/>
              </w:rPr>
              <w:t xml:space="preserve">SDG&amp;E adopts all cost and created SDG&amp;E measure cost IDs for reporting purposes. SDG&amp;E measure cost IDs are included in Ex-Ante tables submission. </w:t>
            </w:r>
          </w:p>
          <w:p w14:paraId="662C5029" w14:textId="77777777" w:rsidR="00672876" w:rsidRPr="00A92029" w:rsidRDefault="00672876" w:rsidP="00523326">
            <w:pPr>
              <w:tabs>
                <w:tab w:val="right" w:pos="6732"/>
              </w:tabs>
              <w:rPr>
                <w:rFonts w:cstheme="minorHAnsi"/>
                <w:sz w:val="20"/>
                <w:szCs w:val="20"/>
              </w:rPr>
            </w:pPr>
          </w:p>
          <w:p w14:paraId="4D0C1494" w14:textId="77777777" w:rsidR="00672876" w:rsidRPr="00A92029" w:rsidRDefault="00672876" w:rsidP="00523326">
            <w:pPr>
              <w:rPr>
                <w:rFonts w:cstheme="minorHAnsi"/>
                <w:color w:val="FF0000"/>
                <w:sz w:val="20"/>
                <w:szCs w:val="20"/>
              </w:rPr>
            </w:pPr>
            <w:r w:rsidRPr="00A92029">
              <w:rPr>
                <w:rFonts w:cstheme="minorHAnsi"/>
                <w:sz w:val="20"/>
                <w:szCs w:val="20"/>
              </w:rPr>
              <w:tab/>
            </w:r>
          </w:p>
        </w:tc>
      </w:tr>
      <w:tr w:rsidR="00672876" w:rsidRPr="00A92029" w14:paraId="3B9B991D" w14:textId="77777777" w:rsidTr="00FB6ADB">
        <w:trPr>
          <w:cantSplit/>
        </w:trPr>
        <w:tc>
          <w:tcPr>
            <w:tcW w:w="2401" w:type="dxa"/>
          </w:tcPr>
          <w:p w14:paraId="7EE52DF4" w14:textId="77777777" w:rsidR="00672876" w:rsidRPr="00A92029" w:rsidRDefault="00672876" w:rsidP="00523326">
            <w:pPr>
              <w:jc w:val="right"/>
              <w:rPr>
                <w:rFonts w:cstheme="minorHAnsi"/>
                <w:sz w:val="20"/>
                <w:szCs w:val="20"/>
              </w:rPr>
            </w:pPr>
          </w:p>
        </w:tc>
        <w:tc>
          <w:tcPr>
            <w:tcW w:w="6949" w:type="dxa"/>
          </w:tcPr>
          <w:p w14:paraId="3920D517" w14:textId="77777777" w:rsidR="00672876" w:rsidRPr="00A92029" w:rsidRDefault="00672876" w:rsidP="00523326">
            <w:pPr>
              <w:tabs>
                <w:tab w:val="right" w:pos="6732"/>
              </w:tabs>
              <w:rPr>
                <w:rFonts w:cstheme="minorHAnsi"/>
                <w:sz w:val="20"/>
                <w:szCs w:val="20"/>
              </w:rPr>
            </w:pPr>
          </w:p>
        </w:tc>
      </w:tr>
    </w:tbl>
    <w:p w14:paraId="5B4DCB7E" w14:textId="77777777" w:rsidR="00787D7C" w:rsidRDefault="00787D7C"/>
    <w:p w14:paraId="5284986F" w14:textId="77777777" w:rsidR="00A20C34" w:rsidRPr="0059117D" w:rsidRDefault="00A20C34" w:rsidP="0059117D"/>
    <w:sectPr w:rsidR="00A20C34" w:rsidRP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602C7" w14:textId="77777777" w:rsidR="00896311" w:rsidRDefault="00896311" w:rsidP="00FE520B">
      <w:r>
        <w:separator/>
      </w:r>
    </w:p>
  </w:endnote>
  <w:endnote w:type="continuationSeparator" w:id="0">
    <w:p w14:paraId="1DA70588" w14:textId="77777777" w:rsidR="00896311" w:rsidRDefault="00896311"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99743" w14:textId="274AF189" w:rsidR="008F2E00" w:rsidRPr="00241A1F" w:rsidRDefault="00D64150" w:rsidP="00241A1F">
    <w:pPr>
      <w:pStyle w:val="Footer"/>
      <w:rPr>
        <w:rFonts w:cstheme="minorHAnsi"/>
        <w:b/>
      </w:rPr>
    </w:pPr>
    <w:r>
      <w:rPr>
        <w:rFonts w:cstheme="minorHAnsi"/>
        <w:b/>
        <w:sz w:val="20"/>
        <w:szCs w:val="20"/>
      </w:rPr>
      <w:t>WPSDGEREWH002</w:t>
    </w:r>
    <w:r w:rsidR="00D00817">
      <w:rPr>
        <w:rFonts w:cstheme="minorHAnsi"/>
        <w:b/>
        <w:sz w:val="20"/>
        <w:szCs w:val="20"/>
      </w:rPr>
      <w:t>4</w:t>
    </w:r>
    <w:r w:rsidRPr="009500DC">
      <w:rPr>
        <w:rFonts w:cstheme="minorHAnsi"/>
        <w:b/>
        <w:sz w:val="20"/>
        <w:szCs w:val="20"/>
      </w:rPr>
      <w:t xml:space="preserve"> Revision </w:t>
    </w:r>
    <w:r w:rsidR="005526CA">
      <w:rPr>
        <w:rFonts w:cstheme="minorHAnsi"/>
        <w:b/>
        <w:sz w:val="20"/>
        <w:szCs w:val="20"/>
      </w:rPr>
      <w:t>2</w:t>
    </w:r>
    <w:r w:rsidR="00E372B8">
      <w:rPr>
        <w:b/>
      </w:rPr>
      <w:tab/>
    </w:r>
    <w:r w:rsidR="00E372B8">
      <w:rPr>
        <w:b/>
      </w:rPr>
      <w:tab/>
    </w:r>
    <w:r w:rsidR="005526CA">
      <w:rPr>
        <w:b/>
      </w:rPr>
      <w:t xml:space="preserve">February </w:t>
    </w:r>
    <w:r w:rsidR="00326AC4">
      <w:rPr>
        <w:b/>
      </w:rPr>
      <w:t>2</w:t>
    </w:r>
    <w:r w:rsidR="005526CA">
      <w:rPr>
        <w:b/>
      </w:rPr>
      <w:t>7</w:t>
    </w:r>
    <w:r w:rsidR="00326AC4">
      <w:rPr>
        <w:b/>
      </w:rPr>
      <w:t>, 201</w:t>
    </w:r>
    <w:r w:rsidR="005526CA">
      <w:rPr>
        <w:b/>
      </w:rPr>
      <w:t>9</w:t>
    </w:r>
  </w:p>
  <w:p w14:paraId="034CAC3A" w14:textId="77777777"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A5BA0" w14:textId="77777777" w:rsidR="00896311" w:rsidRDefault="00896311" w:rsidP="00FE520B">
      <w:r>
        <w:separator/>
      </w:r>
    </w:p>
  </w:footnote>
  <w:footnote w:type="continuationSeparator" w:id="0">
    <w:p w14:paraId="740068E2" w14:textId="77777777" w:rsidR="00896311" w:rsidRDefault="00896311"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F0096"/>
    <w:multiLevelType w:val="hybridMultilevel"/>
    <w:tmpl w:val="3C5A9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C19D9"/>
    <w:multiLevelType w:val="multilevel"/>
    <w:tmpl w:val="354055DA"/>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Calibri" w:hAnsi="Calibri"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2"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7C3F9D"/>
    <w:multiLevelType w:val="hybridMultilevel"/>
    <w:tmpl w:val="7576B32E"/>
    <w:lvl w:ilvl="0" w:tplc="A9BC10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7977FE"/>
    <w:multiLevelType w:val="hybridMultilevel"/>
    <w:tmpl w:val="573618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F577B2"/>
    <w:multiLevelType w:val="hybridMultilevel"/>
    <w:tmpl w:val="7FAA1FD0"/>
    <w:lvl w:ilvl="0" w:tplc="77D6C7E6">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731B3E"/>
    <w:multiLevelType w:val="hybridMultilevel"/>
    <w:tmpl w:val="1988E0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8030879"/>
    <w:multiLevelType w:val="hybridMultilevel"/>
    <w:tmpl w:val="ED5EDA5C"/>
    <w:lvl w:ilvl="0" w:tplc="C60A0BC6">
      <w:numFmt w:val="bullet"/>
      <w:lvlText w:val=""/>
      <w:lvlJc w:val="left"/>
      <w:pPr>
        <w:ind w:left="360" w:hanging="360"/>
      </w:pPr>
      <w:rPr>
        <w:rFonts w:ascii="Symbol" w:eastAsia="Times New Roman" w:hAnsi="Symbol"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D7F7BB4"/>
    <w:multiLevelType w:val="hybridMultilevel"/>
    <w:tmpl w:val="7FDA75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B7A445E"/>
    <w:multiLevelType w:val="hybridMultilevel"/>
    <w:tmpl w:val="16AC4530"/>
    <w:lvl w:ilvl="0" w:tplc="A9BC106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FF49B3"/>
    <w:multiLevelType w:val="hybridMultilevel"/>
    <w:tmpl w:val="0F6AB63E"/>
    <w:lvl w:ilvl="0" w:tplc="D236E8FE">
      <w:start w:val="5"/>
      <w:numFmt w:val="bullet"/>
      <w:lvlText w:val=""/>
      <w:lvlJc w:val="left"/>
      <w:pPr>
        <w:ind w:left="1944" w:hanging="360"/>
      </w:pPr>
      <w:rPr>
        <w:rFonts w:ascii="Symbol" w:eastAsia="Batang" w:hAnsi="Symbol" w:cstheme="minorHAnsi"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9"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DA7F6F"/>
    <w:multiLevelType w:val="hybridMultilevel"/>
    <w:tmpl w:val="47504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452181"/>
    <w:multiLevelType w:val="hybridMultilevel"/>
    <w:tmpl w:val="08D2E2AE"/>
    <w:lvl w:ilvl="0" w:tplc="AF40B9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9"/>
  </w:num>
  <w:num w:numId="5">
    <w:abstractNumId w:val="11"/>
  </w:num>
  <w:num w:numId="6">
    <w:abstractNumId w:val="5"/>
  </w:num>
  <w:num w:numId="7">
    <w:abstractNumId w:val="19"/>
  </w:num>
  <w:num w:numId="8">
    <w:abstractNumId w:val="13"/>
  </w:num>
  <w:num w:numId="9">
    <w:abstractNumId w:val="6"/>
  </w:num>
  <w:num w:numId="10">
    <w:abstractNumId w:val="14"/>
  </w:num>
  <w:num w:numId="11">
    <w:abstractNumId w:val="21"/>
  </w:num>
  <w:num w:numId="12">
    <w:abstractNumId w:val="10"/>
  </w:num>
  <w:num w:numId="13">
    <w:abstractNumId w:val="12"/>
  </w:num>
  <w:num w:numId="14">
    <w:abstractNumId w:val="20"/>
  </w:num>
  <w:num w:numId="15">
    <w:abstractNumId w:val="0"/>
  </w:num>
  <w:num w:numId="16">
    <w:abstractNumId w:val="15"/>
  </w:num>
  <w:num w:numId="17">
    <w:abstractNumId w:val="16"/>
  </w:num>
  <w:num w:numId="18">
    <w:abstractNumId w:val="17"/>
  </w:num>
  <w:num w:numId="19">
    <w:abstractNumId w:val="7"/>
  </w:num>
  <w:num w:numId="20">
    <w:abstractNumId w:val="8"/>
  </w:num>
  <w:num w:numId="21">
    <w:abstractNumId w:val="1"/>
  </w:num>
  <w:num w:numId="22">
    <w:abstractNumId w:val="18"/>
  </w:num>
  <w:num w:numId="2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2DCC"/>
    <w:rsid w:val="00004D4E"/>
    <w:rsid w:val="00022849"/>
    <w:rsid w:val="00023C32"/>
    <w:rsid w:val="00025747"/>
    <w:rsid w:val="00031BA0"/>
    <w:rsid w:val="000425A3"/>
    <w:rsid w:val="00052743"/>
    <w:rsid w:val="00052CE4"/>
    <w:rsid w:val="00055889"/>
    <w:rsid w:val="0008049D"/>
    <w:rsid w:val="000C014D"/>
    <w:rsid w:val="000C13AE"/>
    <w:rsid w:val="000E19CA"/>
    <w:rsid w:val="000E5A40"/>
    <w:rsid w:val="000F72EF"/>
    <w:rsid w:val="00103A51"/>
    <w:rsid w:val="00194466"/>
    <w:rsid w:val="00197371"/>
    <w:rsid w:val="001A13A4"/>
    <w:rsid w:val="001A4875"/>
    <w:rsid w:val="001B1C8A"/>
    <w:rsid w:val="001C3663"/>
    <w:rsid w:val="001D0AB9"/>
    <w:rsid w:val="001D57D7"/>
    <w:rsid w:val="001D5DA2"/>
    <w:rsid w:val="001E14E1"/>
    <w:rsid w:val="001E3ACA"/>
    <w:rsid w:val="002146D1"/>
    <w:rsid w:val="00215828"/>
    <w:rsid w:val="00222120"/>
    <w:rsid w:val="0023444F"/>
    <w:rsid w:val="00241A1F"/>
    <w:rsid w:val="002515D2"/>
    <w:rsid w:val="00271EBA"/>
    <w:rsid w:val="00281CA2"/>
    <w:rsid w:val="00291820"/>
    <w:rsid w:val="00291B2B"/>
    <w:rsid w:val="002941E7"/>
    <w:rsid w:val="00297481"/>
    <w:rsid w:val="002C4FFF"/>
    <w:rsid w:val="002E0948"/>
    <w:rsid w:val="00305F25"/>
    <w:rsid w:val="00320B48"/>
    <w:rsid w:val="00326AC4"/>
    <w:rsid w:val="00334D19"/>
    <w:rsid w:val="00353DCB"/>
    <w:rsid w:val="00354501"/>
    <w:rsid w:val="00360CFA"/>
    <w:rsid w:val="00364865"/>
    <w:rsid w:val="00365A0D"/>
    <w:rsid w:val="00365A8F"/>
    <w:rsid w:val="003A0D2B"/>
    <w:rsid w:val="003A7B4E"/>
    <w:rsid w:val="003B5DCF"/>
    <w:rsid w:val="003C038E"/>
    <w:rsid w:val="003C2EE4"/>
    <w:rsid w:val="003C6175"/>
    <w:rsid w:val="003D1C21"/>
    <w:rsid w:val="003D1C88"/>
    <w:rsid w:val="003E0DC8"/>
    <w:rsid w:val="003E122A"/>
    <w:rsid w:val="003E39EC"/>
    <w:rsid w:val="003E659D"/>
    <w:rsid w:val="003E6E57"/>
    <w:rsid w:val="003E6FA5"/>
    <w:rsid w:val="003E6FD6"/>
    <w:rsid w:val="003F3AA6"/>
    <w:rsid w:val="00401B64"/>
    <w:rsid w:val="0040500F"/>
    <w:rsid w:val="00413EF4"/>
    <w:rsid w:val="004252CE"/>
    <w:rsid w:val="00435A01"/>
    <w:rsid w:val="0044253D"/>
    <w:rsid w:val="0044686E"/>
    <w:rsid w:val="00453F1F"/>
    <w:rsid w:val="00467DB3"/>
    <w:rsid w:val="00484D18"/>
    <w:rsid w:val="004A6215"/>
    <w:rsid w:val="004B4E5C"/>
    <w:rsid w:val="004C3072"/>
    <w:rsid w:val="004C35E4"/>
    <w:rsid w:val="004D0326"/>
    <w:rsid w:val="004D5D19"/>
    <w:rsid w:val="00523326"/>
    <w:rsid w:val="00535231"/>
    <w:rsid w:val="00540AF6"/>
    <w:rsid w:val="005428E1"/>
    <w:rsid w:val="005526CA"/>
    <w:rsid w:val="005545ED"/>
    <w:rsid w:val="0059117D"/>
    <w:rsid w:val="005A1665"/>
    <w:rsid w:val="005B5614"/>
    <w:rsid w:val="00636490"/>
    <w:rsid w:val="00650C31"/>
    <w:rsid w:val="00672876"/>
    <w:rsid w:val="00684ABA"/>
    <w:rsid w:val="006B0D5C"/>
    <w:rsid w:val="006D54BA"/>
    <w:rsid w:val="00727839"/>
    <w:rsid w:val="007543CA"/>
    <w:rsid w:val="0078390B"/>
    <w:rsid w:val="00785AC8"/>
    <w:rsid w:val="00787D7C"/>
    <w:rsid w:val="00792928"/>
    <w:rsid w:val="00797B54"/>
    <w:rsid w:val="007B314A"/>
    <w:rsid w:val="007B623E"/>
    <w:rsid w:val="007D1F1E"/>
    <w:rsid w:val="007D3432"/>
    <w:rsid w:val="007D3A21"/>
    <w:rsid w:val="007D5FAE"/>
    <w:rsid w:val="007F3C14"/>
    <w:rsid w:val="0081521B"/>
    <w:rsid w:val="00856FA4"/>
    <w:rsid w:val="00862113"/>
    <w:rsid w:val="00863848"/>
    <w:rsid w:val="008724D6"/>
    <w:rsid w:val="008775D7"/>
    <w:rsid w:val="00884B9C"/>
    <w:rsid w:val="00887C15"/>
    <w:rsid w:val="00896311"/>
    <w:rsid w:val="00896FA7"/>
    <w:rsid w:val="008A1557"/>
    <w:rsid w:val="008A1D1C"/>
    <w:rsid w:val="008A4224"/>
    <w:rsid w:val="008B6864"/>
    <w:rsid w:val="00910D54"/>
    <w:rsid w:val="009146AD"/>
    <w:rsid w:val="00932811"/>
    <w:rsid w:val="00950249"/>
    <w:rsid w:val="00957C01"/>
    <w:rsid w:val="00984E48"/>
    <w:rsid w:val="0099350E"/>
    <w:rsid w:val="009C3F2D"/>
    <w:rsid w:val="00A051D9"/>
    <w:rsid w:val="00A20C34"/>
    <w:rsid w:val="00A42616"/>
    <w:rsid w:val="00A54FC8"/>
    <w:rsid w:val="00A6097F"/>
    <w:rsid w:val="00A61271"/>
    <w:rsid w:val="00A64BA3"/>
    <w:rsid w:val="00A75EDC"/>
    <w:rsid w:val="00A81E07"/>
    <w:rsid w:val="00A92029"/>
    <w:rsid w:val="00B33D20"/>
    <w:rsid w:val="00B42D64"/>
    <w:rsid w:val="00B46CC8"/>
    <w:rsid w:val="00B47B58"/>
    <w:rsid w:val="00B57F32"/>
    <w:rsid w:val="00B61FCD"/>
    <w:rsid w:val="00B75260"/>
    <w:rsid w:val="00B91BFF"/>
    <w:rsid w:val="00B9234D"/>
    <w:rsid w:val="00BC5215"/>
    <w:rsid w:val="00BD0DF3"/>
    <w:rsid w:val="00BF4FF9"/>
    <w:rsid w:val="00C048F4"/>
    <w:rsid w:val="00C06B9E"/>
    <w:rsid w:val="00C12EA6"/>
    <w:rsid w:val="00C15F66"/>
    <w:rsid w:val="00C179D8"/>
    <w:rsid w:val="00C227A7"/>
    <w:rsid w:val="00C32FF9"/>
    <w:rsid w:val="00C33AD1"/>
    <w:rsid w:val="00C414A6"/>
    <w:rsid w:val="00C44E5A"/>
    <w:rsid w:val="00C54AC6"/>
    <w:rsid w:val="00C91427"/>
    <w:rsid w:val="00CB56F3"/>
    <w:rsid w:val="00CE3B4A"/>
    <w:rsid w:val="00CF2ABA"/>
    <w:rsid w:val="00D00817"/>
    <w:rsid w:val="00D319A5"/>
    <w:rsid w:val="00D43F26"/>
    <w:rsid w:val="00D60240"/>
    <w:rsid w:val="00D64150"/>
    <w:rsid w:val="00D73723"/>
    <w:rsid w:val="00DB71F1"/>
    <w:rsid w:val="00DC4E59"/>
    <w:rsid w:val="00DC7243"/>
    <w:rsid w:val="00DE1C5D"/>
    <w:rsid w:val="00DF0107"/>
    <w:rsid w:val="00E048EA"/>
    <w:rsid w:val="00E05381"/>
    <w:rsid w:val="00E165FC"/>
    <w:rsid w:val="00E33CA3"/>
    <w:rsid w:val="00E372B8"/>
    <w:rsid w:val="00E51CFA"/>
    <w:rsid w:val="00E55946"/>
    <w:rsid w:val="00E5644D"/>
    <w:rsid w:val="00E56CE7"/>
    <w:rsid w:val="00E60781"/>
    <w:rsid w:val="00E6385A"/>
    <w:rsid w:val="00E6631C"/>
    <w:rsid w:val="00E733C7"/>
    <w:rsid w:val="00E84938"/>
    <w:rsid w:val="00EC3B31"/>
    <w:rsid w:val="00EC63CA"/>
    <w:rsid w:val="00EC6CB8"/>
    <w:rsid w:val="00ED3B34"/>
    <w:rsid w:val="00EE1FFD"/>
    <w:rsid w:val="00EE38DA"/>
    <w:rsid w:val="00EE4484"/>
    <w:rsid w:val="00EE49E5"/>
    <w:rsid w:val="00EE6CFE"/>
    <w:rsid w:val="00EF2711"/>
    <w:rsid w:val="00F117C6"/>
    <w:rsid w:val="00F13F45"/>
    <w:rsid w:val="00F31D17"/>
    <w:rsid w:val="00F72E1B"/>
    <w:rsid w:val="00F77C08"/>
    <w:rsid w:val="00F855DD"/>
    <w:rsid w:val="00FB6ADB"/>
    <w:rsid w:val="00FD7937"/>
    <w:rsid w:val="00FE520B"/>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258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1CFA"/>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uiPriority w:val="99"/>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uiPriority w:val="99"/>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paragraph" w:customStyle="1" w:styleId="Reminder">
    <w:name w:val="Reminder"/>
    <w:basedOn w:val="Reminders"/>
    <w:link w:val="ReminderChar"/>
    <w:uiPriority w:val="99"/>
    <w:rsid w:val="0023444F"/>
  </w:style>
  <w:style w:type="character" w:customStyle="1" w:styleId="ReminderChar">
    <w:name w:val="Reminder Char"/>
    <w:basedOn w:val="RemindersChar"/>
    <w:link w:val="Reminder"/>
    <w:uiPriority w:val="99"/>
    <w:rsid w:val="0023444F"/>
    <w:rPr>
      <w:rFonts w:ascii="Trebuchet MS" w:eastAsia="Times New Roman" w:hAnsi="Trebuchet MS" w:cs="Times New Roman"/>
      <w:i/>
      <w:color w:val="FF0000"/>
      <w:szCs w:val="24"/>
    </w:rPr>
  </w:style>
  <w:style w:type="character" w:styleId="CommentReference">
    <w:name w:val="annotation reference"/>
    <w:basedOn w:val="DefaultParagraphFont"/>
    <w:uiPriority w:val="99"/>
    <w:semiHidden/>
    <w:unhideWhenUsed/>
    <w:rsid w:val="00484D18"/>
    <w:rPr>
      <w:sz w:val="16"/>
      <w:szCs w:val="16"/>
    </w:rPr>
  </w:style>
  <w:style w:type="paragraph" w:styleId="CommentText">
    <w:name w:val="annotation text"/>
    <w:basedOn w:val="Normal"/>
    <w:link w:val="CommentTextChar"/>
    <w:uiPriority w:val="99"/>
    <w:semiHidden/>
    <w:unhideWhenUsed/>
    <w:rsid w:val="00484D18"/>
    <w:rPr>
      <w:sz w:val="20"/>
      <w:szCs w:val="20"/>
    </w:rPr>
  </w:style>
  <w:style w:type="character" w:customStyle="1" w:styleId="CommentTextChar">
    <w:name w:val="Comment Text Char"/>
    <w:basedOn w:val="DefaultParagraphFont"/>
    <w:link w:val="CommentText"/>
    <w:uiPriority w:val="99"/>
    <w:semiHidden/>
    <w:rsid w:val="00484D1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4D18"/>
    <w:rPr>
      <w:b/>
      <w:bCs/>
    </w:rPr>
  </w:style>
  <w:style w:type="character" w:customStyle="1" w:styleId="CommentSubjectChar">
    <w:name w:val="Comment Subject Char"/>
    <w:basedOn w:val="CommentTextChar"/>
    <w:link w:val="CommentSubject"/>
    <w:uiPriority w:val="99"/>
    <w:semiHidden/>
    <w:rsid w:val="00484D18"/>
    <w:rPr>
      <w:rFonts w:eastAsia="Times New Roman" w:cs="Times New Roman"/>
      <w:b/>
      <w:bCs/>
      <w:sz w:val="20"/>
      <w:szCs w:val="20"/>
    </w:rPr>
  </w:style>
  <w:style w:type="table" w:styleId="TableContemporary">
    <w:name w:val="Table Contemporary"/>
    <w:basedOn w:val="TableNormal"/>
    <w:rsid w:val="0002284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271EBA"/>
    <w:pPr>
      <w:numPr>
        <w:ilvl w:val="1"/>
        <w:numId w:val="21"/>
      </w:numPr>
      <w:suppressAutoHyphens/>
      <w:spacing w:before="240" w:after="0" w:line="240" w:lineRule="auto"/>
      <w:outlineLvl w:val="1"/>
    </w:pPr>
    <w:rPr>
      <w:rFonts w:ascii="Arial" w:eastAsia="Batang" w:hAnsi="Arial"/>
      <w:b/>
      <w:caps/>
      <w:sz w:val="20"/>
      <w:szCs w:val="20"/>
    </w:rPr>
  </w:style>
  <w:style w:type="paragraph" w:customStyle="1" w:styleId="PR1">
    <w:name w:val="PR1"/>
    <w:basedOn w:val="ART"/>
    <w:rsid w:val="00271EBA"/>
    <w:pPr>
      <w:numPr>
        <w:ilvl w:val="2"/>
      </w:numPr>
      <w:outlineLvl w:val="2"/>
    </w:pPr>
    <w:rPr>
      <w:b w:val="0"/>
      <w:caps w:val="0"/>
    </w:rPr>
  </w:style>
  <w:style w:type="paragraph" w:customStyle="1" w:styleId="PR2">
    <w:name w:val="PR2"/>
    <w:basedOn w:val="PR1"/>
    <w:rsid w:val="00271EBA"/>
    <w:pPr>
      <w:numPr>
        <w:ilvl w:val="3"/>
      </w:numPr>
      <w:spacing w:before="0"/>
      <w:outlineLvl w:val="3"/>
    </w:pPr>
  </w:style>
  <w:style w:type="paragraph" w:customStyle="1" w:styleId="PR3">
    <w:name w:val="PR3"/>
    <w:basedOn w:val="PR1"/>
    <w:rsid w:val="00271EBA"/>
    <w:pPr>
      <w:numPr>
        <w:ilvl w:val="4"/>
      </w:numPr>
      <w:spacing w:before="0"/>
      <w:outlineLvl w:val="4"/>
    </w:pPr>
  </w:style>
  <w:style w:type="paragraph" w:customStyle="1" w:styleId="PR4">
    <w:name w:val="PR4"/>
    <w:basedOn w:val="PR1"/>
    <w:rsid w:val="00271EBA"/>
    <w:pPr>
      <w:numPr>
        <w:ilvl w:val="5"/>
      </w:numPr>
      <w:tabs>
        <w:tab w:val="left" w:pos="2448"/>
      </w:tabs>
      <w:spacing w:before="0"/>
      <w:outlineLvl w:val="5"/>
    </w:pPr>
  </w:style>
  <w:style w:type="paragraph" w:customStyle="1" w:styleId="PR5">
    <w:name w:val="PR5"/>
    <w:basedOn w:val="PR1"/>
    <w:rsid w:val="00271EBA"/>
    <w:pPr>
      <w:numPr>
        <w:ilvl w:val="6"/>
      </w:numPr>
      <w:spacing w:before="0"/>
      <w:outlineLvl w:val="6"/>
    </w:pPr>
  </w:style>
  <w:style w:type="paragraph" w:customStyle="1" w:styleId="PR6">
    <w:name w:val="PR6"/>
    <w:basedOn w:val="PR1"/>
    <w:rsid w:val="00271EBA"/>
    <w:pPr>
      <w:numPr>
        <w:ilvl w:val="7"/>
      </w:numPr>
      <w:tabs>
        <w:tab w:val="left" w:pos="3744"/>
      </w:tabs>
      <w:spacing w:before="0"/>
      <w:outlineLvl w:val="7"/>
    </w:pPr>
  </w:style>
  <w:style w:type="paragraph" w:customStyle="1" w:styleId="PR7">
    <w:name w:val="PR7"/>
    <w:basedOn w:val="PR6"/>
    <w:rsid w:val="00271EBA"/>
    <w:pPr>
      <w:numPr>
        <w:ilvl w:val="8"/>
      </w:numPr>
      <w:tabs>
        <w:tab w:val="clear" w:pos="3744"/>
        <w:tab w:val="left" w:pos="4464"/>
      </w:tabs>
    </w:pPr>
  </w:style>
  <w:style w:type="character" w:styleId="Hyperlink">
    <w:name w:val="Hyperlink"/>
    <w:basedOn w:val="DefaultParagraphFont"/>
    <w:uiPriority w:val="99"/>
    <w:rsid w:val="00271EBA"/>
    <w:rPr>
      <w:rFonts w:cs="Times New Roman"/>
      <w:color w:val="0000FF"/>
      <w:u w:val="single"/>
    </w:rPr>
  </w:style>
  <w:style w:type="paragraph" w:customStyle="1" w:styleId="WPSCT">
    <w:name w:val="WPSCT"/>
    <w:basedOn w:val="Normal"/>
    <w:next w:val="ART"/>
    <w:qFormat/>
    <w:rsid w:val="00271EBA"/>
    <w:pPr>
      <w:numPr>
        <w:numId w:val="21"/>
      </w:numPr>
      <w:suppressAutoHyphens/>
      <w:spacing w:before="240" w:after="0" w:line="240" w:lineRule="auto"/>
      <w:outlineLvl w:val="0"/>
    </w:pPr>
    <w:rPr>
      <w:rFonts w:ascii="Arial" w:eastAsia="Batang" w:hAnsi="Arial"/>
      <w:b/>
      <w:caps/>
      <w:sz w:val="20"/>
      <w:szCs w:val="20"/>
    </w:rPr>
  </w:style>
  <w:style w:type="paragraph" w:customStyle="1" w:styleId="WPPR1">
    <w:name w:val="WPPR1"/>
    <w:basedOn w:val="PR1"/>
    <w:qFormat/>
    <w:rsid w:val="00271EBA"/>
  </w:style>
  <w:style w:type="paragraph" w:customStyle="1" w:styleId="WPPR2">
    <w:name w:val="WPPR2"/>
    <w:basedOn w:val="PR2"/>
    <w:qFormat/>
    <w:rsid w:val="00271EBA"/>
    <w:pPr>
      <w:numPr>
        <w:ilvl w:val="0"/>
        <w:numId w:val="0"/>
      </w:numPr>
      <w:ind w:left="2880" w:hanging="360"/>
    </w:pPr>
  </w:style>
  <w:style w:type="paragraph" w:customStyle="1" w:styleId="WPPR3">
    <w:name w:val="WPPR3"/>
    <w:basedOn w:val="PR3"/>
    <w:qFormat/>
    <w:rsid w:val="00271EBA"/>
    <w:pPr>
      <w:numPr>
        <w:ilvl w:val="0"/>
        <w:numId w:val="0"/>
      </w:numPr>
      <w:ind w:left="3600" w:hanging="360"/>
    </w:pPr>
  </w:style>
  <w:style w:type="paragraph" w:styleId="NoSpacing">
    <w:name w:val="No Spacing"/>
    <w:uiPriority w:val="1"/>
    <w:qFormat/>
    <w:rsid w:val="00271E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546337">
      <w:bodyDiv w:val="1"/>
      <w:marLeft w:val="0"/>
      <w:marRight w:val="0"/>
      <w:marTop w:val="0"/>
      <w:marBottom w:val="0"/>
      <w:divBdr>
        <w:top w:val="none" w:sz="0" w:space="0" w:color="auto"/>
        <w:left w:val="none" w:sz="0" w:space="0" w:color="auto"/>
        <w:bottom w:val="none" w:sz="0" w:space="0" w:color="auto"/>
        <w:right w:val="none" w:sz="0" w:space="0" w:color="auto"/>
      </w:divBdr>
    </w:div>
    <w:div w:id="352994480">
      <w:bodyDiv w:val="1"/>
      <w:marLeft w:val="0"/>
      <w:marRight w:val="0"/>
      <w:marTop w:val="0"/>
      <w:marBottom w:val="0"/>
      <w:divBdr>
        <w:top w:val="none" w:sz="0" w:space="0" w:color="auto"/>
        <w:left w:val="none" w:sz="0" w:space="0" w:color="auto"/>
        <w:bottom w:val="none" w:sz="0" w:space="0" w:color="auto"/>
        <w:right w:val="none" w:sz="0" w:space="0" w:color="auto"/>
      </w:divBdr>
    </w:div>
    <w:div w:id="887451231">
      <w:bodyDiv w:val="1"/>
      <w:marLeft w:val="0"/>
      <w:marRight w:val="0"/>
      <w:marTop w:val="0"/>
      <w:marBottom w:val="0"/>
      <w:divBdr>
        <w:top w:val="none" w:sz="0" w:space="0" w:color="auto"/>
        <w:left w:val="none" w:sz="0" w:space="0" w:color="auto"/>
        <w:bottom w:val="none" w:sz="0" w:space="0" w:color="auto"/>
        <w:right w:val="none" w:sz="0" w:space="0" w:color="auto"/>
      </w:divBdr>
    </w:div>
    <w:div w:id="1471708982">
      <w:bodyDiv w:val="1"/>
      <w:marLeft w:val="0"/>
      <w:marRight w:val="0"/>
      <w:marTop w:val="0"/>
      <w:marBottom w:val="0"/>
      <w:divBdr>
        <w:top w:val="none" w:sz="0" w:space="0" w:color="auto"/>
        <w:left w:val="none" w:sz="0" w:space="0" w:color="auto"/>
        <w:bottom w:val="none" w:sz="0" w:space="0" w:color="auto"/>
        <w:right w:val="none" w:sz="0" w:space="0" w:color="auto"/>
      </w:divBdr>
    </w:div>
    <w:div w:id="1488402905">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yperlink" Target="https://www.energystar.gov/productfinder/advanced"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08E12A0D31D4327B3660D6AD2D6F061"/>
        <w:category>
          <w:name w:val="General"/>
          <w:gallery w:val="placeholder"/>
        </w:category>
        <w:types>
          <w:type w:val="bbPlcHdr"/>
        </w:types>
        <w:behaviors>
          <w:behavior w:val="content"/>
        </w:behaviors>
        <w:guid w:val="{074A2992-CE6E-4C6E-99B7-A447969E1712}"/>
      </w:docPartPr>
      <w:docPartBody>
        <w:p w:rsidR="00AD4D17" w:rsidRDefault="00842A66" w:rsidP="00842A66">
          <w:pPr>
            <w:pStyle w:val="808E12A0D31D4327B3660D6AD2D6F061"/>
          </w:pPr>
          <w:r>
            <w:rPr>
              <w:rStyle w:val="PlaceholderText"/>
              <w:rFonts w:eastAsiaTheme="minorHAnsi"/>
              <w:color w:val="767171" w:themeColor="background2" w:themeShade="80"/>
            </w:rPr>
            <w:t>Enter 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A66"/>
    <w:rsid w:val="00842A66"/>
    <w:rsid w:val="00AD4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2A66"/>
    <w:rPr>
      <w:color w:val="808080"/>
    </w:rPr>
  </w:style>
  <w:style w:type="paragraph" w:customStyle="1" w:styleId="808E12A0D31D4327B3660D6AD2D6F061">
    <w:name w:val="808E12A0D31D4327B3660D6AD2D6F061"/>
    <w:rsid w:val="00842A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C1CF3B-9ECE-42D2-8BF0-EAEAE96E7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1203</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2019-02-28T13:40:00Z</dcterms:created>
  <dcterms:modified xsi:type="dcterms:W3CDTF">2019-02-28T21:16:00Z</dcterms:modified>
</cp:coreProperties>
</file>